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B7394" w14:textId="77777777" w:rsidR="00FD6E76" w:rsidRDefault="00A840BB">
      <w:r>
        <w:rPr>
          <w:color w:val="222222"/>
          <w:sz w:val="20"/>
          <w:szCs w:val="20"/>
          <w:highlight w:val="white"/>
        </w:rPr>
        <w:t xml:space="preserve">Thomson, O.P., McLeod, G.A., Fleischmann, M. and Vaughan, B., 2024. Development and adaptation of the Osteopaths’ Therapeutic Approaches Questionnaire (Osteo-TAQ) for the Australian osteopathic profession-a cognitive Interview study. </w:t>
      </w:r>
      <w:r>
        <w:rPr>
          <w:i/>
          <w:color w:val="222222"/>
          <w:sz w:val="20"/>
          <w:szCs w:val="20"/>
          <w:highlight w:val="white"/>
        </w:rPr>
        <w:t>International Journal of Osteopathic Medicine</w:t>
      </w:r>
      <w:r>
        <w:rPr>
          <w:color w:val="222222"/>
          <w:sz w:val="20"/>
          <w:szCs w:val="20"/>
          <w:highlight w:val="white"/>
        </w:rPr>
        <w:t xml:space="preserve">, p.100723. </w:t>
      </w:r>
      <w:hyperlink r:id="rId7">
        <w:r>
          <w:rPr>
            <w:color w:val="0272B1"/>
            <w:sz w:val="21"/>
            <w:szCs w:val="21"/>
            <w:highlight w:val="white"/>
          </w:rPr>
          <w:t>https://doi.org/10.1016/j.ijosm.2024.100723</w:t>
        </w:r>
      </w:hyperlink>
    </w:p>
    <w:p w14:paraId="228DCA1C" w14:textId="77777777" w:rsidR="00FD6E76" w:rsidRDefault="00FD6E76">
      <w:pPr>
        <w:rPr>
          <w:b/>
        </w:rPr>
      </w:pPr>
    </w:p>
    <w:p w14:paraId="348F69BE" w14:textId="77777777" w:rsidR="00FD6E76" w:rsidRDefault="00FD6E76">
      <w:pPr>
        <w:rPr>
          <w:b/>
        </w:rPr>
      </w:pPr>
    </w:p>
    <w:p w14:paraId="7CD86221" w14:textId="77777777" w:rsidR="00FD6E76" w:rsidRDefault="00FD6E76">
      <w:pPr>
        <w:rPr>
          <w:b/>
        </w:rPr>
      </w:pPr>
    </w:p>
    <w:p w14:paraId="14399077" w14:textId="77777777" w:rsidR="00FD6E76" w:rsidRDefault="00A840BB">
      <w:pPr>
        <w:rPr>
          <w:b/>
        </w:rPr>
      </w:pPr>
      <w:r>
        <w:rPr>
          <w:b/>
        </w:rPr>
        <w:t xml:space="preserve">Development and adaptation of the Osteopaths’ Therapeutic Approaches Questionnaire (Osteo-TAQ) for the Australian osteopathic profession - a cognitive Interview study </w:t>
      </w:r>
    </w:p>
    <w:p w14:paraId="7F67DE19" w14:textId="77777777" w:rsidR="00FD6E76" w:rsidRDefault="00FD6E76">
      <w:pPr>
        <w:rPr>
          <w:b/>
        </w:rPr>
      </w:pPr>
    </w:p>
    <w:p w14:paraId="4EC0601D" w14:textId="77777777" w:rsidR="00FD6E76" w:rsidRDefault="00A840BB">
      <w:pPr>
        <w:rPr>
          <w:b/>
        </w:rPr>
      </w:pPr>
      <w:r>
        <w:rPr>
          <w:b/>
        </w:rPr>
        <w:t>​​</w:t>
      </w:r>
    </w:p>
    <w:p w14:paraId="45341C44" w14:textId="77777777" w:rsidR="00FD6E76" w:rsidRDefault="00A840BB">
      <w:pPr>
        <w:spacing w:before="240" w:after="240" w:line="360" w:lineRule="auto"/>
        <w:rPr>
          <w:rFonts w:ascii="Calibri" w:eastAsia="Calibri" w:hAnsi="Calibri" w:cs="Calibri"/>
          <w:sz w:val="20"/>
          <w:szCs w:val="20"/>
        </w:rPr>
      </w:pPr>
      <w:r>
        <w:rPr>
          <w:rFonts w:ascii="Calibri" w:eastAsia="Calibri" w:hAnsi="Calibri" w:cs="Calibri"/>
          <w:sz w:val="20"/>
          <w:szCs w:val="20"/>
        </w:rPr>
        <w:t>Oliver P. Thomson</w:t>
      </w:r>
      <w:r>
        <w:rPr>
          <w:rFonts w:ascii="Calibri" w:eastAsia="Calibri" w:hAnsi="Calibri" w:cs="Calibri"/>
          <w:sz w:val="20"/>
          <w:szCs w:val="20"/>
          <w:vertAlign w:val="superscript"/>
        </w:rPr>
        <w:t>1,</w:t>
      </w:r>
      <w:proofErr w:type="gramStart"/>
      <w:r>
        <w:rPr>
          <w:rFonts w:ascii="Calibri" w:eastAsia="Calibri" w:hAnsi="Calibri" w:cs="Calibri"/>
          <w:sz w:val="20"/>
          <w:szCs w:val="20"/>
          <w:vertAlign w:val="superscript"/>
        </w:rPr>
        <w:t>2,*</w:t>
      </w:r>
      <w:proofErr w:type="gramEnd"/>
      <w:r>
        <w:rPr>
          <w:rFonts w:ascii="Calibri" w:eastAsia="Calibri" w:hAnsi="Calibri" w:cs="Calibri"/>
          <w:sz w:val="20"/>
          <w:szCs w:val="20"/>
        </w:rPr>
        <w:t>, Gopi Anne McLeod</w:t>
      </w:r>
      <w:r>
        <w:rPr>
          <w:rFonts w:ascii="Calibri" w:eastAsia="Calibri" w:hAnsi="Calibri" w:cs="Calibri"/>
          <w:sz w:val="20"/>
          <w:szCs w:val="20"/>
          <w:vertAlign w:val="superscript"/>
        </w:rPr>
        <w:t xml:space="preserve"> 2,4</w:t>
      </w:r>
      <w:r>
        <w:rPr>
          <w:rFonts w:ascii="Calibri" w:eastAsia="Calibri" w:hAnsi="Calibri" w:cs="Calibri"/>
          <w:sz w:val="20"/>
          <w:szCs w:val="20"/>
        </w:rPr>
        <w:t>, Michael Fleischmann</w:t>
      </w:r>
      <w:r>
        <w:rPr>
          <w:rFonts w:ascii="Calibri" w:eastAsia="Calibri" w:hAnsi="Calibri" w:cs="Calibri"/>
          <w:sz w:val="20"/>
          <w:szCs w:val="20"/>
          <w:vertAlign w:val="superscript"/>
        </w:rPr>
        <w:t xml:space="preserve"> 2,5</w:t>
      </w:r>
      <w:r>
        <w:rPr>
          <w:rFonts w:ascii="Calibri" w:eastAsia="Calibri" w:hAnsi="Calibri" w:cs="Calibri"/>
          <w:sz w:val="20"/>
          <w:szCs w:val="20"/>
        </w:rPr>
        <w:t xml:space="preserve">, Brett Vaughan </w:t>
      </w:r>
      <w:r>
        <w:rPr>
          <w:rFonts w:ascii="Calibri" w:eastAsia="Calibri" w:hAnsi="Calibri" w:cs="Calibri"/>
          <w:sz w:val="20"/>
          <w:szCs w:val="20"/>
          <w:vertAlign w:val="superscript"/>
        </w:rPr>
        <w:t>2,3</w:t>
      </w:r>
      <w:r>
        <w:rPr>
          <w:rFonts w:ascii="Calibri" w:eastAsia="Calibri" w:hAnsi="Calibri" w:cs="Calibri"/>
          <w:sz w:val="20"/>
          <w:szCs w:val="20"/>
        </w:rPr>
        <w:t xml:space="preserve"> </w:t>
      </w:r>
    </w:p>
    <w:p w14:paraId="7B2D2D79" w14:textId="77777777" w:rsidR="00FD6E76" w:rsidRDefault="00A840BB">
      <w:pPr>
        <w:numPr>
          <w:ilvl w:val="0"/>
          <w:numId w:val="1"/>
        </w:numPr>
        <w:spacing w:before="240" w:line="360" w:lineRule="auto"/>
        <w:rPr>
          <w:rFonts w:ascii="Calibri" w:eastAsia="Calibri" w:hAnsi="Calibri" w:cs="Calibri"/>
          <w:sz w:val="18"/>
          <w:szCs w:val="18"/>
        </w:rPr>
      </w:pPr>
      <w:r>
        <w:rPr>
          <w:rFonts w:ascii="Calibri" w:eastAsia="Calibri" w:hAnsi="Calibri" w:cs="Calibri"/>
          <w:sz w:val="18"/>
          <w:szCs w:val="18"/>
        </w:rPr>
        <w:t>University College of Osteopathy, London, UK</w:t>
      </w:r>
    </w:p>
    <w:p w14:paraId="0F3673D2" w14:textId="77777777" w:rsidR="00FD6E76" w:rsidRDefault="00A840BB">
      <w:pPr>
        <w:numPr>
          <w:ilvl w:val="0"/>
          <w:numId w:val="1"/>
        </w:numPr>
        <w:spacing w:line="360" w:lineRule="auto"/>
        <w:rPr>
          <w:rFonts w:ascii="Calibri" w:eastAsia="Calibri" w:hAnsi="Calibri" w:cs="Calibri"/>
          <w:sz w:val="18"/>
          <w:szCs w:val="18"/>
        </w:rPr>
      </w:pPr>
      <w:r>
        <w:rPr>
          <w:rFonts w:ascii="Calibri" w:eastAsia="Calibri" w:hAnsi="Calibri" w:cs="Calibri"/>
          <w:sz w:val="18"/>
          <w:szCs w:val="18"/>
        </w:rPr>
        <w:t>Australian Research Centre in Complementary and Integrative Medicine, Faculty of Health, University of Technology Sydney, Australia.</w:t>
      </w:r>
    </w:p>
    <w:p w14:paraId="3705F251" w14:textId="77777777" w:rsidR="00FD6E76" w:rsidRDefault="00A840BB">
      <w:pPr>
        <w:numPr>
          <w:ilvl w:val="0"/>
          <w:numId w:val="1"/>
        </w:numPr>
        <w:spacing w:line="360" w:lineRule="auto"/>
        <w:rPr>
          <w:rFonts w:ascii="Calibri" w:eastAsia="Calibri" w:hAnsi="Calibri" w:cs="Calibri"/>
          <w:sz w:val="18"/>
          <w:szCs w:val="18"/>
        </w:rPr>
      </w:pPr>
      <w:r>
        <w:rPr>
          <w:rFonts w:ascii="Calibri" w:eastAsia="Calibri" w:hAnsi="Calibri" w:cs="Calibri"/>
          <w:sz w:val="18"/>
          <w:szCs w:val="18"/>
        </w:rPr>
        <w:t>Department of Medical Education, University of Melbourne, Melbourne, Australia</w:t>
      </w:r>
    </w:p>
    <w:p w14:paraId="7A2DDBA6" w14:textId="77777777" w:rsidR="00FD6E76" w:rsidRDefault="00A840BB">
      <w:pPr>
        <w:numPr>
          <w:ilvl w:val="0"/>
          <w:numId w:val="1"/>
        </w:numPr>
        <w:spacing w:line="360" w:lineRule="auto"/>
        <w:rPr>
          <w:rFonts w:ascii="Calibri" w:eastAsia="Calibri" w:hAnsi="Calibri" w:cs="Calibri"/>
          <w:sz w:val="18"/>
          <w:szCs w:val="18"/>
        </w:rPr>
      </w:pPr>
      <w:r>
        <w:rPr>
          <w:rFonts w:ascii="Roboto" w:eastAsia="Roboto" w:hAnsi="Roboto" w:cs="Roboto"/>
          <w:sz w:val="21"/>
          <w:szCs w:val="21"/>
          <w:highlight w:val="white"/>
        </w:rPr>
        <w:t>F</w:t>
      </w:r>
      <w:r>
        <w:rPr>
          <w:rFonts w:ascii="Calibri" w:eastAsia="Calibri" w:hAnsi="Calibri" w:cs="Calibri"/>
          <w:sz w:val="18"/>
          <w:szCs w:val="18"/>
          <w:highlight w:val="white"/>
        </w:rPr>
        <w:t>aculty of Health, Southern Cross University, Lismore, Australia</w:t>
      </w:r>
    </w:p>
    <w:p w14:paraId="4C50616C" w14:textId="77777777" w:rsidR="00FD6E76" w:rsidRDefault="00A840BB">
      <w:pPr>
        <w:numPr>
          <w:ilvl w:val="0"/>
          <w:numId w:val="1"/>
        </w:numPr>
        <w:spacing w:after="240" w:line="360" w:lineRule="auto"/>
        <w:rPr>
          <w:rFonts w:ascii="Calibri" w:eastAsia="Calibri" w:hAnsi="Calibri" w:cs="Calibri"/>
          <w:sz w:val="18"/>
          <w:szCs w:val="18"/>
        </w:rPr>
      </w:pPr>
      <w:r>
        <w:rPr>
          <w:rFonts w:ascii="Calibri" w:eastAsia="Calibri" w:hAnsi="Calibri" w:cs="Calibri"/>
          <w:sz w:val="18"/>
          <w:szCs w:val="18"/>
        </w:rPr>
        <w:t xml:space="preserve">Royal Melbourne Institute of Technology, Melbourne, Victoria Australia </w:t>
      </w:r>
    </w:p>
    <w:p w14:paraId="42B63849" w14:textId="77777777" w:rsidR="00FD6E76" w:rsidRDefault="00A840BB">
      <w:pPr>
        <w:spacing w:before="240" w:after="240" w:line="360" w:lineRule="auto"/>
        <w:jc w:val="both"/>
        <w:rPr>
          <w:rFonts w:ascii="Calibri" w:eastAsia="Calibri" w:hAnsi="Calibri" w:cs="Calibri"/>
        </w:rPr>
      </w:pPr>
      <w:r>
        <w:rPr>
          <w:rFonts w:ascii="Calibri" w:eastAsia="Calibri" w:hAnsi="Calibri" w:cs="Calibri"/>
        </w:rPr>
        <w:t xml:space="preserve"> *Corresponding author: oliver.thomson@uco.ac.uk</w:t>
      </w:r>
    </w:p>
    <w:p w14:paraId="639A305E" w14:textId="77777777" w:rsidR="00FD6E76" w:rsidRDefault="00FD6E76">
      <w:pPr>
        <w:rPr>
          <w:b/>
        </w:rPr>
      </w:pPr>
    </w:p>
    <w:p w14:paraId="2D3E7CE9" w14:textId="77777777" w:rsidR="00FD6E76" w:rsidRDefault="00A840BB">
      <w:pPr>
        <w:rPr>
          <w:b/>
        </w:rPr>
      </w:pPr>
      <w:r>
        <w:rPr>
          <w:b/>
        </w:rPr>
        <w:t xml:space="preserve">Abstract: </w:t>
      </w:r>
    </w:p>
    <w:p w14:paraId="514ACCA9" w14:textId="77777777" w:rsidR="00FD6E76" w:rsidRDefault="00FD6E76">
      <w:pPr>
        <w:rPr>
          <w:b/>
        </w:rPr>
      </w:pPr>
    </w:p>
    <w:p w14:paraId="3D9A5D51" w14:textId="77777777" w:rsidR="00FD6E76" w:rsidRDefault="00A840BB">
      <w:pPr>
        <w:rPr>
          <w:rFonts w:ascii="Calibri" w:eastAsia="Calibri" w:hAnsi="Calibri" w:cs="Calibri"/>
        </w:rPr>
      </w:pPr>
      <w:r>
        <w:rPr>
          <w:rFonts w:ascii="Calibri" w:eastAsia="Calibri" w:hAnsi="Calibri" w:cs="Calibri"/>
          <w:b/>
        </w:rPr>
        <w:t>Background</w:t>
      </w:r>
      <w:r>
        <w:rPr>
          <w:rFonts w:ascii="Calibri" w:eastAsia="Calibri" w:hAnsi="Calibri" w:cs="Calibri"/>
        </w:rPr>
        <w:t>: The Osteopaths’ Therapeutic Approaches Questionnaire (Osteo-TAQ) is a novel 36-item instrument developed from qualitative grounded theory research with osteopaths in the United Kingdom. The Osteo-TAQ has the potential to measure multiple domains of osteopaths’ practice including therapeutic approach, clinical decision-making and therapeutic relationship. It is unknown how well the items in the Osteo-TAQ relate to the practice of Australian osteopaths.</w:t>
      </w:r>
    </w:p>
    <w:p w14:paraId="65FAB1CF" w14:textId="77777777" w:rsidR="00FD6E76" w:rsidRDefault="00A840BB">
      <w:pPr>
        <w:rPr>
          <w:rFonts w:ascii="Calibri" w:eastAsia="Calibri" w:hAnsi="Calibri" w:cs="Calibri"/>
        </w:rPr>
      </w:pPr>
      <w:r>
        <w:rPr>
          <w:rFonts w:ascii="Calibri" w:eastAsia="Calibri" w:hAnsi="Calibri" w:cs="Calibri"/>
          <w:b/>
        </w:rPr>
        <w:t>Aims</w:t>
      </w:r>
      <w:r>
        <w:rPr>
          <w:rFonts w:ascii="Calibri" w:eastAsia="Calibri" w:hAnsi="Calibri" w:cs="Calibri"/>
        </w:rPr>
        <w:t xml:space="preserve">: To assess and improve the quality of the Osteo-TAQ survey </w:t>
      </w:r>
      <w:proofErr w:type="gramStart"/>
      <w:r>
        <w:rPr>
          <w:rFonts w:ascii="Calibri" w:eastAsia="Calibri" w:hAnsi="Calibri" w:cs="Calibri"/>
        </w:rPr>
        <w:t>items  prior</w:t>
      </w:r>
      <w:proofErr w:type="gramEnd"/>
      <w:r>
        <w:rPr>
          <w:rFonts w:ascii="Calibri" w:eastAsia="Calibri" w:hAnsi="Calibri" w:cs="Calibri"/>
        </w:rPr>
        <w:t xml:space="preserve"> to utilising the Osteo-TAQ amongst the Australian osteopathic profession.</w:t>
      </w:r>
    </w:p>
    <w:p w14:paraId="5D8433AE" w14:textId="77777777" w:rsidR="00FD6E76" w:rsidRDefault="00A840BB">
      <w:pPr>
        <w:rPr>
          <w:rFonts w:ascii="Calibri" w:eastAsia="Calibri" w:hAnsi="Calibri" w:cs="Calibri"/>
        </w:rPr>
      </w:pPr>
      <w:r>
        <w:rPr>
          <w:rFonts w:ascii="Calibri" w:eastAsia="Calibri" w:hAnsi="Calibri" w:cs="Calibri"/>
          <w:b/>
        </w:rPr>
        <w:t>Methods</w:t>
      </w:r>
      <w:r>
        <w:rPr>
          <w:rFonts w:ascii="Calibri" w:eastAsia="Calibri" w:hAnsi="Calibri" w:cs="Calibri"/>
        </w:rPr>
        <w:t>: Cognitive interviews with six Australian registered osteopaths (n=6) were used to generate data on how participants interpreted and understood the Osteo-TAQ items. Interviews were transcribed verbatim and content analysis was used to identify issues of comprehension and ‘problem areas’ relating to the Osteo-TAQ.</w:t>
      </w:r>
    </w:p>
    <w:p w14:paraId="33BF801D" w14:textId="77777777" w:rsidR="00FD6E76" w:rsidRDefault="00A840BB">
      <w:pPr>
        <w:rPr>
          <w:rFonts w:ascii="Calibri" w:eastAsia="Calibri" w:hAnsi="Calibri" w:cs="Calibri"/>
        </w:rPr>
      </w:pPr>
      <w:r>
        <w:rPr>
          <w:rFonts w:ascii="Calibri" w:eastAsia="Calibri" w:hAnsi="Calibri" w:cs="Calibri"/>
          <w:b/>
        </w:rPr>
        <w:t xml:space="preserve">Results: </w:t>
      </w:r>
      <w:r>
        <w:rPr>
          <w:rFonts w:ascii="Calibri" w:eastAsia="Calibri" w:hAnsi="Calibri" w:cs="Calibri"/>
        </w:rPr>
        <w:t xml:space="preserve">Three relatively minor </w:t>
      </w:r>
      <w:proofErr w:type="gramStart"/>
      <w:r>
        <w:rPr>
          <w:rFonts w:ascii="Calibri" w:eastAsia="Calibri" w:hAnsi="Calibri" w:cs="Calibri"/>
        </w:rPr>
        <w:t>problems  were</w:t>
      </w:r>
      <w:proofErr w:type="gramEnd"/>
      <w:r>
        <w:rPr>
          <w:rFonts w:ascii="Calibri" w:eastAsia="Calibri" w:hAnsi="Calibri" w:cs="Calibri"/>
        </w:rPr>
        <w:t xml:space="preserve"> identified in relation to the core aspects of clinical practice (the patient, examination, treatment and management), use of possessive pronouns and Likert scale frequency response options. </w:t>
      </w:r>
    </w:p>
    <w:p w14:paraId="54A2B392" w14:textId="77777777" w:rsidR="00FD6E76" w:rsidRDefault="00A840BB">
      <w:pPr>
        <w:rPr>
          <w:rFonts w:ascii="Calibri" w:eastAsia="Calibri" w:hAnsi="Calibri" w:cs="Calibri"/>
        </w:rPr>
      </w:pPr>
      <w:r>
        <w:rPr>
          <w:rFonts w:ascii="Calibri" w:eastAsia="Calibri" w:hAnsi="Calibri" w:cs="Calibri"/>
          <w:b/>
        </w:rPr>
        <w:t>Conclusion</w:t>
      </w:r>
      <w:r>
        <w:rPr>
          <w:rFonts w:ascii="Calibri" w:eastAsia="Calibri" w:hAnsi="Calibri" w:cs="Calibri"/>
        </w:rPr>
        <w:t xml:space="preserve">: These problem areas may reflect the similarities in osteopathic practice in the UK and Australia, but also indicate subtle differences in the terminology utilised by osteopaths to describe and communicate areas of their clinical practice. </w:t>
      </w:r>
    </w:p>
    <w:p w14:paraId="00CFDC7B" w14:textId="77777777" w:rsidR="00FD6E76" w:rsidRDefault="00FD6E76">
      <w:pPr>
        <w:rPr>
          <w:rFonts w:ascii="Calibri" w:eastAsia="Calibri" w:hAnsi="Calibri" w:cs="Calibri"/>
        </w:rPr>
      </w:pPr>
    </w:p>
    <w:p w14:paraId="414A1880" w14:textId="77777777" w:rsidR="00FD6E76" w:rsidRDefault="00A840BB">
      <w:pPr>
        <w:rPr>
          <w:rFonts w:ascii="Calibri" w:eastAsia="Calibri" w:hAnsi="Calibri" w:cs="Calibri"/>
        </w:rPr>
      </w:pPr>
      <w:r>
        <w:rPr>
          <w:rFonts w:ascii="Calibri" w:eastAsia="Calibri" w:hAnsi="Calibri" w:cs="Calibri"/>
        </w:rPr>
        <w:t xml:space="preserve">Key words: Cognitive interview; Survey design; Content analysis; Osteopathic Medicine </w:t>
      </w:r>
    </w:p>
    <w:p w14:paraId="529ABAB8" w14:textId="77777777" w:rsidR="00FD6E76" w:rsidRDefault="00FD6E76">
      <w:pPr>
        <w:rPr>
          <w:b/>
        </w:rPr>
      </w:pPr>
    </w:p>
    <w:p w14:paraId="14FA1072" w14:textId="77777777" w:rsidR="00FD6E76" w:rsidRDefault="00FD6E76">
      <w:pPr>
        <w:rPr>
          <w:b/>
        </w:rPr>
      </w:pPr>
    </w:p>
    <w:p w14:paraId="58559298" w14:textId="77777777" w:rsidR="00FD6E76" w:rsidRDefault="00A840BB">
      <w:pPr>
        <w:rPr>
          <w:rFonts w:ascii="Calibri" w:eastAsia="Calibri" w:hAnsi="Calibri" w:cs="Calibri"/>
          <w:b/>
        </w:rPr>
      </w:pPr>
      <w:r>
        <w:rPr>
          <w:b/>
        </w:rPr>
        <w:t>Introduction</w:t>
      </w:r>
    </w:p>
    <w:p w14:paraId="65E5BF5D" w14:textId="77777777" w:rsidR="00FD6E76" w:rsidRDefault="00A840BB">
      <w:pPr>
        <w:spacing w:line="360" w:lineRule="auto"/>
        <w:jc w:val="both"/>
        <w:rPr>
          <w:rFonts w:ascii="Calibri" w:eastAsia="Calibri" w:hAnsi="Calibri" w:cs="Calibri"/>
        </w:rPr>
      </w:pPr>
      <w:r>
        <w:rPr>
          <w:rFonts w:ascii="Calibri" w:eastAsia="Calibri" w:hAnsi="Calibri" w:cs="Calibri"/>
          <w:highlight w:val="white"/>
        </w:rPr>
        <w:t xml:space="preserve">As osteopathy evolves as a profession, it is important to critically reflect and challenge long-held assumptions in order to gain a deeper understanding of the nature of practice and the complexity of osteopath-patient clinical interactions </w:t>
      </w:r>
      <w:hyperlink r:id="rId8">
        <w:r>
          <w:rPr>
            <w:rFonts w:ascii="Calibri" w:eastAsia="Calibri" w:hAnsi="Calibri" w:cs="Calibri"/>
            <w:color w:val="000000"/>
            <w:highlight w:val="white"/>
          </w:rPr>
          <w:t>(O’Keeffe et al. 2016; Banton and Vogel 2024)</w:t>
        </w:r>
      </w:hyperlink>
      <w:r>
        <w:rPr>
          <w:rFonts w:ascii="Calibri" w:eastAsia="Calibri" w:hAnsi="Calibri" w:cs="Calibri"/>
          <w:highlight w:val="white"/>
        </w:rPr>
        <w:t>, so that care can be optimised.</w:t>
      </w:r>
      <w:r>
        <w:rPr>
          <w:rFonts w:ascii="Calibri" w:eastAsia="Calibri" w:hAnsi="Calibri" w:cs="Calibri"/>
        </w:rPr>
        <w:t xml:space="preserve"> To date, there has been very little research conducted into the nature of osteopaths’ clinical practice, nor how the different approaches taken to clinical practice relates to patient outcomes. In Australia, osteopathy is a government-registered allied health profession regulated by a statutory professional board, the Osteopathy Board of Australia </w:t>
      </w:r>
      <w:hyperlink r:id="rId9">
        <w:r>
          <w:rPr>
            <w:rFonts w:ascii="Calibri" w:eastAsia="Calibri" w:hAnsi="Calibri" w:cs="Calibri"/>
            <w:color w:val="000000"/>
          </w:rPr>
          <w:t>(“Osteopathy Board of Australia,” n.d.)</w:t>
        </w:r>
      </w:hyperlink>
      <w:r>
        <w:rPr>
          <w:rFonts w:ascii="Calibri" w:eastAsia="Calibri" w:hAnsi="Calibri" w:cs="Calibri"/>
        </w:rPr>
        <w:t xml:space="preserve">. As of June 2023, there were 3147 registered osteopaths in Australia, a 6.6% increase over the previous year, with just over half identifying as female (54.3%) </w:t>
      </w:r>
      <w:hyperlink r:id="rId10">
        <w:r>
          <w:rPr>
            <w:rFonts w:ascii="Calibri" w:eastAsia="Calibri" w:hAnsi="Calibri" w:cs="Calibri"/>
            <w:color w:val="000000"/>
          </w:rPr>
          <w:t>(“Osteopathy Board of Australia,” n.d.)</w:t>
        </w:r>
      </w:hyperlink>
      <w:r>
        <w:rPr>
          <w:rFonts w:ascii="Calibri" w:eastAsia="Calibri" w:hAnsi="Calibri" w:cs="Calibri"/>
        </w:rPr>
        <w:t xml:space="preserve">. The minimum requirement to become a registered osteopath in Australia is a four-year-long university education at a Bachelor's or Master's level that includes the medical and health sciences, research and supervised clinical placements. The current osteopathy curriculum is informed by national accreditation standards </w:t>
      </w:r>
      <w:hyperlink r:id="rId11">
        <w:r>
          <w:rPr>
            <w:rFonts w:ascii="Calibri" w:eastAsia="Calibri" w:hAnsi="Calibri" w:cs="Calibri"/>
            <w:color w:val="000000"/>
          </w:rPr>
          <w:t>(“AOAC,” n.d.)</w:t>
        </w:r>
      </w:hyperlink>
      <w:r>
        <w:rPr>
          <w:rFonts w:ascii="Calibri" w:eastAsia="Calibri" w:hAnsi="Calibri" w:cs="Calibri"/>
        </w:rPr>
        <w:t>, in line with other Australian registered health professions.</w:t>
      </w:r>
    </w:p>
    <w:p w14:paraId="39EB2D13" w14:textId="77777777" w:rsidR="00FD6E76" w:rsidRDefault="00A840BB">
      <w:pPr>
        <w:spacing w:before="240" w:after="240" w:line="360" w:lineRule="auto"/>
        <w:jc w:val="both"/>
        <w:rPr>
          <w:rFonts w:ascii="Calibri" w:eastAsia="Calibri" w:hAnsi="Calibri" w:cs="Calibri"/>
        </w:rPr>
      </w:pPr>
      <w:r>
        <w:rPr>
          <w:rFonts w:ascii="Calibri" w:eastAsia="Calibri" w:hAnsi="Calibri" w:cs="Calibri"/>
        </w:rPr>
        <w:t xml:space="preserve">The majority of Australian osteopaths work in private clinical practice where they see patients experiencing primarily musculoskeletal conditions </w:t>
      </w:r>
      <w:hyperlink r:id="rId12">
        <w:r>
          <w:rPr>
            <w:rFonts w:ascii="Calibri" w:eastAsia="Calibri" w:hAnsi="Calibri" w:cs="Calibri"/>
            <w:color w:val="000000"/>
          </w:rPr>
          <w:t>(Adams et al. 2018)</w:t>
        </w:r>
      </w:hyperlink>
      <w:r>
        <w:rPr>
          <w:rFonts w:ascii="Calibri" w:eastAsia="Calibri" w:hAnsi="Calibri" w:cs="Calibri"/>
        </w:rPr>
        <w:t xml:space="preserve">. However, precise details of their clinical practice </w:t>
      </w:r>
      <w:proofErr w:type="gramStart"/>
      <w:r>
        <w:rPr>
          <w:rFonts w:ascii="Calibri" w:eastAsia="Calibri" w:hAnsi="Calibri" w:cs="Calibri"/>
        </w:rPr>
        <w:t>is</w:t>
      </w:r>
      <w:proofErr w:type="gramEnd"/>
      <w:r>
        <w:rPr>
          <w:rFonts w:ascii="Calibri" w:eastAsia="Calibri" w:hAnsi="Calibri" w:cs="Calibri"/>
        </w:rPr>
        <w:t xml:space="preserve"> not well understood, prompting the need for an up to date exploration of osteopathic clinical practice in Australia. Adams et </w:t>
      </w:r>
      <w:proofErr w:type="spellStart"/>
      <w:proofErr w:type="gramStart"/>
      <w:r>
        <w:rPr>
          <w:rFonts w:ascii="Calibri" w:eastAsia="Calibri" w:hAnsi="Calibri" w:cs="Calibri"/>
        </w:rPr>
        <w:t>al’s</w:t>
      </w:r>
      <w:proofErr w:type="spellEnd"/>
      <w:r>
        <w:rPr>
          <w:rFonts w:ascii="Calibri" w:eastAsia="Calibri" w:hAnsi="Calibri" w:cs="Calibri"/>
        </w:rPr>
        <w:t xml:space="preserve">  Australian</w:t>
      </w:r>
      <w:proofErr w:type="gramEnd"/>
      <w:r>
        <w:rPr>
          <w:rFonts w:ascii="Calibri" w:eastAsia="Calibri" w:hAnsi="Calibri" w:cs="Calibri"/>
        </w:rPr>
        <w:t xml:space="preserve"> osteopathic workforce </w:t>
      </w:r>
      <w:hyperlink r:id="rId13">
        <w:r>
          <w:rPr>
            <w:rFonts w:ascii="Calibri" w:eastAsia="Calibri" w:hAnsi="Calibri" w:cs="Calibri"/>
            <w:color w:val="000000"/>
          </w:rPr>
          <w:t>(Adams et al. 2018)</w:t>
        </w:r>
      </w:hyperlink>
      <w:r>
        <w:rPr>
          <w:rFonts w:ascii="Calibri" w:eastAsia="Calibri" w:hAnsi="Calibri" w:cs="Calibri"/>
        </w:rPr>
        <w:t xml:space="preserve"> survey has provided descriptions in regards to practise characteristics of osteopaths such as conditions commonly treated, practice location, clinical experience and level of osteopathic training. Workforce surveys of this kind and similar in other countries </w:t>
      </w:r>
      <w:hyperlink r:id="rId14">
        <w:r>
          <w:rPr>
            <w:rFonts w:ascii="Calibri" w:eastAsia="Calibri" w:hAnsi="Calibri" w:cs="Calibri"/>
            <w:color w:val="000000"/>
          </w:rPr>
          <w:t>(Ellwood and Carnes 2021)</w:t>
        </w:r>
      </w:hyperlink>
      <w:r>
        <w:rPr>
          <w:rFonts w:ascii="Calibri" w:eastAsia="Calibri" w:hAnsi="Calibri" w:cs="Calibri"/>
        </w:rPr>
        <w:t xml:space="preserve"> including France </w:t>
      </w:r>
      <w:hyperlink r:id="rId15">
        <w:r>
          <w:rPr>
            <w:rFonts w:ascii="Calibri" w:eastAsia="Calibri" w:hAnsi="Calibri" w:cs="Calibri"/>
            <w:color w:val="000000"/>
          </w:rPr>
          <w:t>(Wagner et al. 2023)</w:t>
        </w:r>
      </w:hyperlink>
      <w:r>
        <w:rPr>
          <w:rFonts w:ascii="Calibri" w:eastAsia="Calibri" w:hAnsi="Calibri" w:cs="Calibri"/>
        </w:rPr>
        <w:t xml:space="preserve">, Portugal  </w:t>
      </w:r>
      <w:hyperlink r:id="rId16">
        <w:r>
          <w:rPr>
            <w:rFonts w:ascii="Calibri" w:eastAsia="Calibri" w:hAnsi="Calibri" w:cs="Calibri"/>
            <w:color w:val="000000"/>
          </w:rPr>
          <w:t>(Santiago et al. 2022)</w:t>
        </w:r>
      </w:hyperlink>
      <w:r>
        <w:rPr>
          <w:rFonts w:ascii="Calibri" w:eastAsia="Calibri" w:hAnsi="Calibri" w:cs="Calibri"/>
        </w:rPr>
        <w:t xml:space="preserve"> and the UK </w:t>
      </w:r>
      <w:hyperlink r:id="rId17">
        <w:r>
          <w:rPr>
            <w:rFonts w:ascii="Calibri" w:eastAsia="Calibri" w:hAnsi="Calibri" w:cs="Calibri"/>
            <w:color w:val="000000"/>
          </w:rPr>
          <w:t>(Plunkett, Fawkes, and Carnes 2022)</w:t>
        </w:r>
      </w:hyperlink>
      <w:r>
        <w:rPr>
          <w:rFonts w:ascii="Calibri" w:eastAsia="Calibri" w:hAnsi="Calibri" w:cs="Calibri"/>
        </w:rPr>
        <w:t xml:space="preserve"> provide an important overview of some features of osteopathy and osteopaths so that the profession can have an enhanced understanding on how and where to position and prepare itself in relation to the healthcare system. Furthermore, national workforce surveys have an important role in providing regulatory authorities and lobby groups important information to support regulatory processes in counties where osteopathy is still undergoing professionalisation (as in the current case of Spain </w:t>
      </w:r>
      <w:hyperlink r:id="rId18">
        <w:r>
          <w:rPr>
            <w:rFonts w:ascii="Calibri" w:eastAsia="Calibri" w:hAnsi="Calibri" w:cs="Calibri"/>
            <w:color w:val="000000"/>
          </w:rPr>
          <w:t>(Alvarez et al. 2020)</w:t>
        </w:r>
      </w:hyperlink>
      <w:r>
        <w:rPr>
          <w:rFonts w:ascii="Calibri" w:eastAsia="Calibri" w:hAnsi="Calibri" w:cs="Calibri"/>
        </w:rPr>
        <w:t xml:space="preserve"> and Belgium </w:t>
      </w:r>
      <w:hyperlink r:id="rId19">
        <w:r>
          <w:rPr>
            <w:rFonts w:ascii="Calibri" w:eastAsia="Calibri" w:hAnsi="Calibri" w:cs="Calibri"/>
            <w:color w:val="000000"/>
          </w:rPr>
          <w:t>(van Dun et al. 2022)</w:t>
        </w:r>
      </w:hyperlink>
      <w:r>
        <w:rPr>
          <w:rFonts w:ascii="Calibri" w:eastAsia="Calibri" w:hAnsi="Calibri" w:cs="Calibri"/>
        </w:rPr>
        <w:t>.</w:t>
      </w:r>
    </w:p>
    <w:p w14:paraId="0E2D0706" w14:textId="77777777" w:rsidR="00FD6E76" w:rsidRDefault="00FD6E76">
      <w:pPr>
        <w:spacing w:before="240" w:after="240"/>
        <w:rPr>
          <w:rFonts w:ascii="Calibri" w:eastAsia="Calibri" w:hAnsi="Calibri" w:cs="Calibri"/>
        </w:rPr>
      </w:pPr>
    </w:p>
    <w:p w14:paraId="707331D7" w14:textId="77777777" w:rsidR="00FD6E76" w:rsidRDefault="00FD6E76">
      <w:pPr>
        <w:spacing w:before="240" w:after="240"/>
        <w:rPr>
          <w:rFonts w:ascii="Calibri" w:eastAsia="Calibri" w:hAnsi="Calibri" w:cs="Calibri"/>
        </w:rPr>
      </w:pPr>
    </w:p>
    <w:p w14:paraId="0E4BFBF2" w14:textId="77777777" w:rsidR="00FD6E76" w:rsidRDefault="00FD6E76">
      <w:pPr>
        <w:spacing w:before="240" w:after="240"/>
        <w:rPr>
          <w:rFonts w:ascii="Calibri" w:eastAsia="Calibri" w:hAnsi="Calibri" w:cs="Calibri"/>
        </w:rPr>
      </w:pPr>
    </w:p>
    <w:p w14:paraId="140D29B1" w14:textId="77777777" w:rsidR="00FD6E76" w:rsidRDefault="00A840BB">
      <w:pPr>
        <w:spacing w:line="360" w:lineRule="auto"/>
        <w:jc w:val="both"/>
        <w:rPr>
          <w:rFonts w:ascii="Calibri" w:eastAsia="Calibri" w:hAnsi="Calibri" w:cs="Calibri"/>
          <w:i/>
        </w:rPr>
      </w:pPr>
      <w:r>
        <w:rPr>
          <w:rFonts w:ascii="Calibri" w:eastAsia="Calibri" w:hAnsi="Calibri" w:cs="Calibri"/>
          <w:i/>
        </w:rPr>
        <w:t>Theoretical underpinning of the Osteo-TAQ</w:t>
      </w:r>
    </w:p>
    <w:p w14:paraId="5805164F" w14:textId="77777777" w:rsidR="00FD6E76" w:rsidRDefault="00A840BB">
      <w:pPr>
        <w:spacing w:line="360" w:lineRule="auto"/>
        <w:jc w:val="both"/>
        <w:rPr>
          <w:rFonts w:ascii="Calibri" w:eastAsia="Calibri" w:hAnsi="Calibri" w:cs="Calibri"/>
        </w:rPr>
      </w:pPr>
      <w:r>
        <w:rPr>
          <w:rFonts w:ascii="Calibri" w:eastAsia="Calibri" w:hAnsi="Calibri" w:cs="Calibri"/>
        </w:rPr>
        <w:t xml:space="preserve">Thomson et al. </w:t>
      </w:r>
      <w:hyperlink r:id="rId20">
        <w:r>
          <w:rPr>
            <w:rFonts w:ascii="Calibri" w:eastAsia="Calibri" w:hAnsi="Calibri" w:cs="Calibri"/>
            <w:color w:val="000000"/>
          </w:rPr>
          <w:t>(O. P. Thomson, Petty, and Moore 2014b, 2014a)</w:t>
        </w:r>
      </w:hyperlink>
      <w:r>
        <w:rPr>
          <w:rFonts w:ascii="Calibri" w:eastAsia="Calibri" w:hAnsi="Calibri" w:cs="Calibri"/>
        </w:rPr>
        <w:t xml:space="preserve"> have presented a grounded theory that offers an in-depth explanation of the complexity and multidimensionality of osteopaths' clinical practice. This theory, goes beyond a mere description of the various manual therapy techniques utilised by osteopaths but delves into their decision-making processes. Through this grounded theory study, the concept of 'therapeutic approach' was introduced as a multi-dimensional construct encompassing an osteopath's professional identity, clinical decision-making approach, perceived therapeutic role, the focus of their patient interaction and personal view of health and disease </w:t>
      </w:r>
      <w:hyperlink r:id="rId21">
        <w:r>
          <w:rPr>
            <w:rFonts w:ascii="Calibri" w:eastAsia="Calibri" w:hAnsi="Calibri" w:cs="Calibri"/>
            <w:color w:val="000000"/>
          </w:rPr>
          <w:t>(O. P. Thomson, Petty, and Moore 2014b; O. Thomson 2013)</w:t>
        </w:r>
      </w:hyperlink>
      <w:r>
        <w:rPr>
          <w:rFonts w:ascii="Calibri" w:eastAsia="Calibri" w:hAnsi="Calibri" w:cs="Calibri"/>
        </w:rPr>
        <w:t xml:space="preserve">. After analysing the data and taking into account existing theories </w:t>
      </w:r>
      <w:hyperlink r:id="rId22">
        <w:r>
          <w:rPr>
            <w:rFonts w:ascii="Calibri" w:eastAsia="Calibri" w:hAnsi="Calibri" w:cs="Calibri"/>
            <w:color w:val="000000"/>
          </w:rPr>
          <w:t>(Della Fish 1998; Delia Fish and Coles 1998; Schön 1987)</w:t>
        </w:r>
      </w:hyperlink>
      <w:r>
        <w:rPr>
          <w:rFonts w:ascii="Calibri" w:eastAsia="Calibri" w:hAnsi="Calibri" w:cs="Calibri"/>
        </w:rPr>
        <w:t xml:space="preserve">, the core category of "conception of practice" was identified. This category strongly influences the type of therapeutic approach that an osteopath may adopt. In short, the term 'conception of practice' refers to an osteopath's understanding of their practice, including their views on the nature of their skills and knowledge. This can range from a more ‘technical rationality’ approach to a more ‘professional artistry’ </w:t>
      </w:r>
      <w:hyperlink r:id="rId23">
        <w:r>
          <w:rPr>
            <w:rFonts w:ascii="Calibri" w:eastAsia="Calibri" w:hAnsi="Calibri" w:cs="Calibri"/>
            <w:color w:val="000000"/>
          </w:rPr>
          <w:t>(O. P. Thomson, Petty, and Moore 2014a)</w:t>
        </w:r>
      </w:hyperlink>
      <w:r>
        <w:rPr>
          <w:rFonts w:ascii="Calibri" w:eastAsia="Calibri" w:hAnsi="Calibri" w:cs="Calibri"/>
        </w:rPr>
        <w:t>.</w:t>
      </w:r>
    </w:p>
    <w:p w14:paraId="5635B894" w14:textId="77777777" w:rsidR="00FD6E76" w:rsidRDefault="00FD6E76">
      <w:pPr>
        <w:jc w:val="both"/>
        <w:rPr>
          <w:rFonts w:ascii="Calibri" w:eastAsia="Calibri" w:hAnsi="Calibri" w:cs="Calibri"/>
          <w:i/>
        </w:rPr>
      </w:pPr>
    </w:p>
    <w:p w14:paraId="65F6E479" w14:textId="77777777" w:rsidR="00FD6E76" w:rsidRDefault="00A840BB">
      <w:pPr>
        <w:spacing w:line="360" w:lineRule="auto"/>
        <w:jc w:val="both"/>
        <w:rPr>
          <w:rFonts w:ascii="Calibri" w:eastAsia="Calibri" w:hAnsi="Calibri" w:cs="Calibri"/>
        </w:rPr>
      </w:pPr>
      <w:r>
        <w:rPr>
          <w:rFonts w:ascii="Calibri" w:eastAsia="Calibri" w:hAnsi="Calibri" w:cs="Calibri"/>
          <w:i/>
        </w:rPr>
        <w:t>Osteopaths’ Therapeutic Approach Questionnaire (Osteo-TAQ)</w:t>
      </w:r>
    </w:p>
    <w:p w14:paraId="4BA7E693" w14:textId="77777777" w:rsidR="00FD6E76" w:rsidRDefault="00A840BB">
      <w:pPr>
        <w:spacing w:line="360" w:lineRule="auto"/>
        <w:jc w:val="both"/>
        <w:rPr>
          <w:b/>
        </w:rPr>
      </w:pPr>
      <w:r>
        <w:rPr>
          <w:rFonts w:ascii="Calibri" w:eastAsia="Calibri" w:hAnsi="Calibri" w:cs="Calibri"/>
        </w:rPr>
        <w:t xml:space="preserve">Preliminary research </w:t>
      </w:r>
      <w:hyperlink r:id="rId24">
        <w:r>
          <w:rPr>
            <w:rFonts w:ascii="Calibri" w:eastAsia="Calibri" w:hAnsi="Calibri" w:cs="Calibri"/>
            <w:color w:val="000000"/>
          </w:rPr>
          <w:t xml:space="preserve">(O. P. Thomson and </w:t>
        </w:r>
        <w:proofErr w:type="spellStart"/>
        <w:r>
          <w:rPr>
            <w:rFonts w:ascii="Calibri" w:eastAsia="Calibri" w:hAnsi="Calibri" w:cs="Calibri"/>
            <w:color w:val="000000"/>
          </w:rPr>
          <w:t>Anstiss</w:t>
        </w:r>
        <w:proofErr w:type="spellEnd"/>
        <w:r>
          <w:rPr>
            <w:rFonts w:ascii="Calibri" w:eastAsia="Calibri" w:hAnsi="Calibri" w:cs="Calibri"/>
            <w:color w:val="000000"/>
          </w:rPr>
          <w:t xml:space="preserve"> 2020)</w:t>
        </w:r>
      </w:hyperlink>
      <w:r>
        <w:rPr>
          <w:rFonts w:ascii="Calibri" w:eastAsia="Calibri" w:hAnsi="Calibri" w:cs="Calibri"/>
        </w:rPr>
        <w:t xml:space="preserve">, generated draft items from the original theory to form the Osteo-TAQ based on the methodology by Pincus et al., </w:t>
      </w:r>
      <w:hyperlink r:id="rId25">
        <w:r>
          <w:rPr>
            <w:rFonts w:ascii="Calibri" w:eastAsia="Calibri" w:hAnsi="Calibri" w:cs="Calibri"/>
            <w:color w:val="000000"/>
          </w:rPr>
          <w:t>(Pincus et al. 2006)</w:t>
        </w:r>
      </w:hyperlink>
      <w:r>
        <w:rPr>
          <w:rFonts w:ascii="Calibri" w:eastAsia="Calibri" w:hAnsi="Calibri" w:cs="Calibri"/>
        </w:rPr>
        <w:t xml:space="preserve">.  Osteo-TAQ is a 36-item tool exploring a range of behaviours and activities that osteopaths undertake in their day-to-day practice with participants allocating their response on a 4-point unipolar frequency scale (always to never). The Osteo-TAQ takes approximately 10 minutes to complete. Our previous studies have established the face </w:t>
      </w:r>
      <w:hyperlink r:id="rId26">
        <w:r>
          <w:rPr>
            <w:rFonts w:ascii="Calibri" w:eastAsia="Calibri" w:hAnsi="Calibri" w:cs="Calibri"/>
            <w:color w:val="000000"/>
          </w:rPr>
          <w:t xml:space="preserve">(O. P. Thomson and </w:t>
        </w:r>
        <w:proofErr w:type="spellStart"/>
        <w:r>
          <w:rPr>
            <w:rFonts w:ascii="Calibri" w:eastAsia="Calibri" w:hAnsi="Calibri" w:cs="Calibri"/>
            <w:color w:val="000000"/>
          </w:rPr>
          <w:t>Anstiss</w:t>
        </w:r>
        <w:proofErr w:type="spellEnd"/>
        <w:r>
          <w:rPr>
            <w:rFonts w:ascii="Calibri" w:eastAsia="Calibri" w:hAnsi="Calibri" w:cs="Calibri"/>
            <w:color w:val="000000"/>
          </w:rPr>
          <w:t xml:space="preserve"> 2020)</w:t>
        </w:r>
      </w:hyperlink>
      <w:r>
        <w:rPr>
          <w:rFonts w:ascii="Calibri" w:eastAsia="Calibri" w:hAnsi="Calibri" w:cs="Calibri"/>
        </w:rPr>
        <w:t xml:space="preserve"> and content validity </w:t>
      </w:r>
      <w:hyperlink r:id="rId27">
        <w:r>
          <w:rPr>
            <w:rFonts w:ascii="Calibri" w:eastAsia="Calibri" w:hAnsi="Calibri" w:cs="Calibri"/>
            <w:color w:val="000000"/>
          </w:rPr>
          <w:t>(O. P. Thomson et al. 2022)</w:t>
        </w:r>
      </w:hyperlink>
      <w:r>
        <w:rPr>
          <w:rFonts w:ascii="Calibri" w:eastAsia="Calibri" w:hAnsi="Calibri" w:cs="Calibri"/>
        </w:rPr>
        <w:t xml:space="preserve"> of the Osteo-TAQ. However, the underpinning theory of Osteo-TAQ was developed from UK osteopaths and maintains that osteopathic clinical practice is complex and expertise is multidimensional; </w:t>
      </w:r>
      <w:proofErr w:type="gramStart"/>
      <w:r>
        <w:rPr>
          <w:rFonts w:ascii="Calibri" w:eastAsia="Calibri" w:hAnsi="Calibri" w:cs="Calibri"/>
        </w:rPr>
        <w:t>thus</w:t>
      </w:r>
      <w:proofErr w:type="gramEnd"/>
      <w:r>
        <w:rPr>
          <w:rFonts w:ascii="Calibri" w:eastAsia="Calibri" w:hAnsi="Calibri" w:cs="Calibri"/>
        </w:rPr>
        <w:t xml:space="preserve"> the intended original meaning of the Osteo-TAQ cannot be assumed to translate to </w:t>
      </w:r>
      <w:proofErr w:type="spellStart"/>
      <w:r>
        <w:rPr>
          <w:rFonts w:ascii="Calibri" w:eastAsia="Calibri" w:hAnsi="Calibri" w:cs="Calibri"/>
        </w:rPr>
        <w:t>to</w:t>
      </w:r>
      <w:proofErr w:type="spellEnd"/>
      <w:r>
        <w:rPr>
          <w:rFonts w:ascii="Calibri" w:eastAsia="Calibri" w:hAnsi="Calibri" w:cs="Calibri"/>
        </w:rPr>
        <w:t xml:space="preserve"> a different sociocultural context (</w:t>
      </w:r>
      <w:proofErr w:type="spellStart"/>
      <w:r>
        <w:rPr>
          <w:rFonts w:ascii="Calibri" w:eastAsia="Calibri" w:hAnsi="Calibri" w:cs="Calibri"/>
        </w:rPr>
        <w:t>i.e</w:t>
      </w:r>
      <w:proofErr w:type="spellEnd"/>
      <w:r>
        <w:rPr>
          <w:rFonts w:ascii="Calibri" w:eastAsia="Calibri" w:hAnsi="Calibri" w:cs="Calibri"/>
        </w:rPr>
        <w:t xml:space="preserve"> Australian osteopathic practice). In accordance with best practice methods for questionnaire design </w:t>
      </w:r>
      <w:hyperlink r:id="rId28">
        <w:r>
          <w:rPr>
            <w:rFonts w:ascii="Calibri" w:eastAsia="Calibri" w:hAnsi="Calibri" w:cs="Calibri"/>
            <w:color w:val="000000"/>
          </w:rPr>
          <w:t>(Ryan, Gannon-Slater, and Culbertson 2012)</w:t>
        </w:r>
      </w:hyperlink>
      <w:r>
        <w:rPr>
          <w:rFonts w:ascii="Calibri" w:eastAsia="Calibri" w:hAnsi="Calibri" w:cs="Calibri"/>
        </w:rPr>
        <w:t xml:space="preserve">, this current study presents a continued effort to refine the previously published Osteo-TAQ </w:t>
      </w:r>
      <w:hyperlink r:id="rId29">
        <w:r>
          <w:rPr>
            <w:rFonts w:ascii="Calibri" w:eastAsia="Calibri" w:hAnsi="Calibri" w:cs="Calibri"/>
            <w:color w:val="000000"/>
          </w:rPr>
          <w:t xml:space="preserve">(O. P. Thomson and </w:t>
        </w:r>
        <w:proofErr w:type="spellStart"/>
        <w:r>
          <w:rPr>
            <w:rFonts w:ascii="Calibri" w:eastAsia="Calibri" w:hAnsi="Calibri" w:cs="Calibri"/>
            <w:color w:val="000000"/>
          </w:rPr>
          <w:t>Anstiss</w:t>
        </w:r>
        <w:proofErr w:type="spellEnd"/>
        <w:r>
          <w:rPr>
            <w:rFonts w:ascii="Calibri" w:eastAsia="Calibri" w:hAnsi="Calibri" w:cs="Calibri"/>
            <w:color w:val="000000"/>
          </w:rPr>
          <w:t xml:space="preserve"> 2020; O. P. Thomson et al. 2022)</w:t>
        </w:r>
      </w:hyperlink>
      <w:r>
        <w:rPr>
          <w:rFonts w:ascii="Calibri" w:eastAsia="Calibri" w:hAnsi="Calibri" w:cs="Calibri"/>
        </w:rPr>
        <w:t xml:space="preserve"> </w:t>
      </w:r>
      <w:r>
        <w:rPr>
          <w:rFonts w:ascii="Calibri" w:eastAsia="Calibri" w:hAnsi="Calibri" w:cs="Calibri"/>
        </w:rPr>
        <w:lastRenderedPageBreak/>
        <w:t xml:space="preserve">with the aim of employing cognitive interviews as a method to assess and improve the quality of the Osteo-TAQ survey items  prior to utilising the Osteo-TAQ amongst the Australian osteopathic profession. </w:t>
      </w:r>
    </w:p>
    <w:p w14:paraId="03456F78" w14:textId="77777777" w:rsidR="00FD6E76" w:rsidRDefault="00FD6E76">
      <w:pPr>
        <w:spacing w:line="360" w:lineRule="auto"/>
        <w:rPr>
          <w:b/>
        </w:rPr>
      </w:pPr>
    </w:p>
    <w:p w14:paraId="19D20ECF" w14:textId="77777777" w:rsidR="00FD6E76" w:rsidRDefault="00FD6E76">
      <w:pPr>
        <w:spacing w:line="360" w:lineRule="auto"/>
        <w:rPr>
          <w:b/>
        </w:rPr>
      </w:pPr>
    </w:p>
    <w:p w14:paraId="2A8EE83B" w14:textId="77777777" w:rsidR="00FD6E76" w:rsidRDefault="00A840BB">
      <w:pPr>
        <w:spacing w:line="360" w:lineRule="auto"/>
        <w:rPr>
          <w:b/>
        </w:rPr>
      </w:pPr>
      <w:r>
        <w:rPr>
          <w:b/>
        </w:rPr>
        <w:t>Methods</w:t>
      </w:r>
    </w:p>
    <w:p w14:paraId="476FDF6C" w14:textId="77777777" w:rsidR="00FD6E76" w:rsidRDefault="00FD6E76">
      <w:pPr>
        <w:spacing w:line="360" w:lineRule="auto"/>
        <w:rPr>
          <w:b/>
        </w:rPr>
      </w:pPr>
    </w:p>
    <w:p w14:paraId="29DB10B8" w14:textId="77777777" w:rsidR="00FD6E76" w:rsidRDefault="00A840BB">
      <w:pPr>
        <w:shd w:val="clear" w:color="auto" w:fill="FFFFFF"/>
        <w:spacing w:after="200" w:line="360" w:lineRule="auto"/>
        <w:jc w:val="both"/>
        <w:rPr>
          <w:rFonts w:ascii="Calibri" w:eastAsia="Calibri" w:hAnsi="Calibri" w:cs="Calibri"/>
          <w:i/>
        </w:rPr>
      </w:pPr>
      <w:r>
        <w:rPr>
          <w:rFonts w:ascii="Calibri" w:eastAsia="Calibri" w:hAnsi="Calibri" w:cs="Calibri"/>
          <w:i/>
        </w:rPr>
        <w:t xml:space="preserve">Ethical approval </w:t>
      </w:r>
    </w:p>
    <w:p w14:paraId="541D3E8E" w14:textId="77777777" w:rsidR="00FD6E76" w:rsidRDefault="00A840BB">
      <w:pPr>
        <w:shd w:val="clear" w:color="auto" w:fill="FFFFFF"/>
        <w:spacing w:after="200" w:line="360" w:lineRule="auto"/>
        <w:jc w:val="both"/>
        <w:rPr>
          <w:rFonts w:ascii="Calibri" w:eastAsia="Calibri" w:hAnsi="Calibri" w:cs="Calibri"/>
        </w:rPr>
      </w:pPr>
      <w:r>
        <w:rPr>
          <w:rFonts w:ascii="Calibri" w:eastAsia="Calibri" w:hAnsi="Calibri" w:cs="Calibri"/>
        </w:rPr>
        <w:t>This study was approved by the Human Research Ethics Committee of the University of Melbourne (Application number 23587).</w:t>
      </w:r>
    </w:p>
    <w:p w14:paraId="00F5B404" w14:textId="77777777" w:rsidR="00FD6E76" w:rsidRDefault="00A840BB">
      <w:pPr>
        <w:shd w:val="clear" w:color="auto" w:fill="FFFFFF"/>
        <w:spacing w:after="200" w:line="360" w:lineRule="auto"/>
        <w:jc w:val="both"/>
        <w:rPr>
          <w:rFonts w:ascii="Calibri" w:eastAsia="Calibri" w:hAnsi="Calibri" w:cs="Calibri"/>
        </w:rPr>
      </w:pPr>
      <w:r>
        <w:rPr>
          <w:rFonts w:ascii="Calibri" w:eastAsia="Calibri" w:hAnsi="Calibri" w:cs="Calibri"/>
          <w:i/>
        </w:rPr>
        <w:t xml:space="preserve">Study design </w:t>
      </w:r>
    </w:p>
    <w:p w14:paraId="6D07BC8A" w14:textId="77777777" w:rsidR="00FD6E76" w:rsidRDefault="00A840BB">
      <w:pPr>
        <w:shd w:val="clear" w:color="auto" w:fill="FFFFFF"/>
        <w:spacing w:after="200" w:line="360" w:lineRule="auto"/>
        <w:jc w:val="both"/>
        <w:rPr>
          <w:rFonts w:ascii="Calibri" w:eastAsia="Calibri" w:hAnsi="Calibri" w:cs="Calibri"/>
        </w:rPr>
      </w:pPr>
      <w:r>
        <w:rPr>
          <w:rFonts w:ascii="Calibri" w:eastAsia="Calibri" w:hAnsi="Calibri" w:cs="Calibri"/>
          <w:highlight w:val="white"/>
        </w:rPr>
        <w:t xml:space="preserve">The Cognitive Interview Reporting Framework (CIRF) was used to structure the methods of this research report </w:t>
      </w:r>
      <w:hyperlink r:id="rId30">
        <w:r>
          <w:rPr>
            <w:rFonts w:ascii="Calibri" w:eastAsia="Calibri" w:hAnsi="Calibri" w:cs="Calibri"/>
            <w:color w:val="000000"/>
            <w:highlight w:val="white"/>
          </w:rPr>
          <w:t>(</w:t>
        </w:r>
        <w:proofErr w:type="spellStart"/>
        <w:r>
          <w:rPr>
            <w:rFonts w:ascii="Calibri" w:eastAsia="Calibri" w:hAnsi="Calibri" w:cs="Calibri"/>
            <w:color w:val="000000"/>
            <w:highlight w:val="white"/>
          </w:rPr>
          <w:t>Boeije</w:t>
        </w:r>
        <w:proofErr w:type="spellEnd"/>
        <w:r>
          <w:rPr>
            <w:rFonts w:ascii="Calibri" w:eastAsia="Calibri" w:hAnsi="Calibri" w:cs="Calibri"/>
            <w:color w:val="000000"/>
            <w:highlight w:val="white"/>
          </w:rPr>
          <w:t xml:space="preserve"> and Willis 2013)</w:t>
        </w:r>
      </w:hyperlink>
      <w:r>
        <w:rPr>
          <w:rFonts w:ascii="Calibri" w:eastAsia="Calibri" w:hAnsi="Calibri" w:cs="Calibri"/>
          <w:highlight w:val="white"/>
        </w:rPr>
        <w:t xml:space="preserve">. Cognitive interviewing is an established method to evaluate targeted survey questions, with the goal of modifying these questions when indicated </w:t>
      </w:r>
      <w:hyperlink r:id="rId31">
        <w:r>
          <w:rPr>
            <w:rFonts w:ascii="Calibri" w:eastAsia="Calibri" w:hAnsi="Calibri" w:cs="Calibri"/>
            <w:color w:val="000000"/>
            <w:highlight w:val="white"/>
          </w:rPr>
          <w:t>(P. C. Beatty and Willis 2007)</w:t>
        </w:r>
      </w:hyperlink>
      <w:r>
        <w:rPr>
          <w:rFonts w:ascii="Calibri" w:eastAsia="Calibri" w:hAnsi="Calibri" w:cs="Calibri"/>
          <w:highlight w:val="white"/>
        </w:rPr>
        <w:t xml:space="preserve">. </w:t>
      </w:r>
      <w:r>
        <w:rPr>
          <w:rFonts w:ascii="Calibri" w:eastAsia="Calibri" w:hAnsi="Calibri" w:cs="Calibri"/>
        </w:rPr>
        <w:t>Cognitive interviews were used to develop an understanding of how a sample of Australian osteopaths interpreted and understood the questions contained within the Osteo-TAQ including their thought processes, any difficulties in comprehension of the items and in what way the Osteo-TAQ related to their osteopathic practice.</w:t>
      </w:r>
    </w:p>
    <w:p w14:paraId="5CD8F816" w14:textId="77777777" w:rsidR="00FD6E76" w:rsidRDefault="00A840BB">
      <w:pPr>
        <w:shd w:val="clear" w:color="auto" w:fill="FFFFFF"/>
        <w:spacing w:after="200" w:line="360" w:lineRule="auto"/>
        <w:jc w:val="both"/>
        <w:rPr>
          <w:rFonts w:ascii="Calibri" w:eastAsia="Calibri" w:hAnsi="Calibri" w:cs="Calibri"/>
          <w:i/>
        </w:rPr>
      </w:pPr>
      <w:r>
        <w:rPr>
          <w:rFonts w:ascii="Calibri" w:eastAsia="Calibri" w:hAnsi="Calibri" w:cs="Calibri"/>
          <w:i/>
        </w:rPr>
        <w:t xml:space="preserve">Recruitment and sampling </w:t>
      </w:r>
    </w:p>
    <w:p w14:paraId="0AB25669" w14:textId="77777777" w:rsidR="00FD6E76" w:rsidRDefault="00A840BB">
      <w:pPr>
        <w:shd w:val="clear" w:color="auto" w:fill="FFFFFF"/>
        <w:spacing w:line="360" w:lineRule="auto"/>
        <w:jc w:val="both"/>
        <w:rPr>
          <w:rFonts w:ascii="Calibri" w:eastAsia="Calibri" w:hAnsi="Calibri" w:cs="Calibri"/>
        </w:rPr>
      </w:pPr>
      <w:r>
        <w:rPr>
          <w:rFonts w:ascii="Calibri" w:eastAsia="Calibri" w:hAnsi="Calibri" w:cs="Calibri"/>
        </w:rPr>
        <w:t xml:space="preserve">Adverts informing potential participants were shared on the social media platforms of the research team and also Osteopathy Australia. The adverts provided a summary of the study and invited those interested in taking part to contact a member of the research team for further information about the study. Those interested were then sent an invitation pack for the study including a participants information form and a consent form relating to participant agreement with statements pertaining to current registration and practising as an Australian-based osteopath. As an incentive to take part in interviews, participants were awarded a 50 AUD gift card. Sampling followed a purposeful approach </w:t>
      </w:r>
      <w:hyperlink r:id="rId32">
        <w:r>
          <w:rPr>
            <w:rFonts w:ascii="Calibri" w:eastAsia="Calibri" w:hAnsi="Calibri" w:cs="Calibri"/>
            <w:color w:val="000000"/>
          </w:rPr>
          <w:t>(Coyne 1997)</w:t>
        </w:r>
      </w:hyperlink>
      <w:r>
        <w:rPr>
          <w:rFonts w:ascii="Calibri" w:eastAsia="Calibri" w:hAnsi="Calibri" w:cs="Calibri"/>
        </w:rPr>
        <w:t>, whereby interested participants were intentionally selected based on their age, gender, practice background and clinical experience to ensure data was generated from a variety of perspectives.</w:t>
      </w:r>
    </w:p>
    <w:p w14:paraId="76A9BBA1" w14:textId="77777777" w:rsidR="00FD6E76" w:rsidRDefault="00FD6E76">
      <w:pPr>
        <w:shd w:val="clear" w:color="auto" w:fill="FFFFFF"/>
        <w:spacing w:line="360" w:lineRule="auto"/>
        <w:jc w:val="both"/>
        <w:rPr>
          <w:rFonts w:ascii="Calibri" w:eastAsia="Calibri" w:hAnsi="Calibri" w:cs="Calibri"/>
        </w:rPr>
      </w:pPr>
    </w:p>
    <w:p w14:paraId="6890063F" w14:textId="77777777" w:rsidR="00FD6E76" w:rsidRDefault="00A840BB">
      <w:pPr>
        <w:shd w:val="clear" w:color="auto" w:fill="FFFFFF"/>
        <w:spacing w:after="200"/>
        <w:jc w:val="both"/>
        <w:rPr>
          <w:rFonts w:ascii="Calibri" w:eastAsia="Calibri" w:hAnsi="Calibri" w:cs="Calibri"/>
          <w:i/>
        </w:rPr>
      </w:pPr>
      <w:r>
        <w:rPr>
          <w:rFonts w:ascii="Calibri" w:eastAsia="Calibri" w:hAnsi="Calibri" w:cs="Calibri"/>
          <w:i/>
        </w:rPr>
        <w:t xml:space="preserve">Data collection </w:t>
      </w:r>
    </w:p>
    <w:p w14:paraId="784C9B57" w14:textId="77777777" w:rsidR="00FD6E76" w:rsidRDefault="00A840BB">
      <w:pPr>
        <w:shd w:val="clear" w:color="auto" w:fill="FFFFFF"/>
        <w:spacing w:after="200" w:line="360" w:lineRule="auto"/>
        <w:jc w:val="both"/>
        <w:rPr>
          <w:rFonts w:ascii="Calibri" w:eastAsia="Calibri" w:hAnsi="Calibri" w:cs="Calibri"/>
          <w:shd w:val="clear" w:color="auto" w:fill="FCFCFC"/>
        </w:rPr>
      </w:pPr>
      <w:r>
        <w:rPr>
          <w:rFonts w:ascii="Calibri" w:eastAsia="Calibri" w:hAnsi="Calibri" w:cs="Calibri"/>
        </w:rPr>
        <w:lastRenderedPageBreak/>
        <w:t xml:space="preserve">Semi-structured interviews with participants were used to generate data for this study. Participants were invited to complete the Osteo-TAQ before the scheduled interview. </w:t>
      </w:r>
      <w:r>
        <w:rPr>
          <w:rFonts w:ascii="Calibri" w:eastAsia="Calibri" w:hAnsi="Calibri" w:cs="Calibri"/>
          <w:sz w:val="21"/>
          <w:szCs w:val="21"/>
          <w:highlight w:val="white"/>
        </w:rPr>
        <w:t>Our objective during the interview process was to gain valuable insights and opinions from participants about the survey question</w:t>
      </w:r>
      <w:r>
        <w:rPr>
          <w:rFonts w:ascii="Calibri" w:eastAsia="Calibri" w:hAnsi="Calibri" w:cs="Calibri"/>
          <w:highlight w:val="white"/>
        </w:rPr>
        <w:t>s.</w:t>
      </w:r>
      <w:r>
        <w:rPr>
          <w:rFonts w:ascii="Calibri" w:eastAsia="Calibri" w:hAnsi="Calibri" w:cs="Calibri"/>
          <w:shd w:val="clear" w:color="auto" w:fill="FCFCFC"/>
        </w:rPr>
        <w:t xml:space="preserve"> Specifically, this study utilised two established approaches to cognitive interviewing namely ‘think aloud approach’ and a more ‘probe-based’ approach </w:t>
      </w:r>
      <w:hyperlink r:id="rId33">
        <w:r>
          <w:rPr>
            <w:rFonts w:ascii="Calibri" w:eastAsia="Calibri" w:hAnsi="Calibri" w:cs="Calibri"/>
            <w:color w:val="000000"/>
            <w:shd w:val="clear" w:color="auto" w:fill="FCFCFC"/>
          </w:rPr>
          <w:t>(P. Beatty 2004)</w:t>
        </w:r>
      </w:hyperlink>
      <w:r>
        <w:rPr>
          <w:rFonts w:ascii="Calibri" w:eastAsia="Calibri" w:hAnsi="Calibri" w:cs="Calibri"/>
          <w:shd w:val="clear" w:color="auto" w:fill="FCFCFC"/>
        </w:rPr>
        <w:t>. In the think aloud approach, questions from researchers invited participants to talk through their thinking processes as they completed the Osteo-TAQ. The think aloud approach enabled researchers to obtain an interpretative portrayal of the thought/cognitive processes of participants as they considered each item on the Osteo-TAQ. The probing approach involved asking participants direct questions about their responses to the Osteo-TAQ to obtain a deeper understanding of the nature of data the questionnaire sought to capture. Two researchers OT and GM conducted three interviews respectively and were both experienced qualitative researchers with expertise in semi-structured interview methods. Table 1 below provides an illustration of the questions asked to participants during the cognitive interviews.</w:t>
      </w:r>
    </w:p>
    <w:p w14:paraId="2DF04D7F" w14:textId="77777777" w:rsidR="00FD6E76" w:rsidRDefault="00FD6E76">
      <w:pPr>
        <w:shd w:val="clear" w:color="auto" w:fill="FFFFFF"/>
        <w:spacing w:after="200"/>
        <w:jc w:val="both"/>
        <w:rPr>
          <w:rFonts w:ascii="Calibri" w:eastAsia="Calibri" w:hAnsi="Calibri" w:cs="Calibri"/>
          <w:shd w:val="clear" w:color="auto" w:fill="FCFCFC"/>
        </w:rPr>
      </w:pPr>
    </w:p>
    <w:p w14:paraId="76D9C265" w14:textId="77777777" w:rsidR="00FD6E76" w:rsidRDefault="00FD6E76">
      <w:pPr>
        <w:shd w:val="clear" w:color="auto" w:fill="FFFFFF"/>
        <w:spacing w:after="200"/>
        <w:jc w:val="both"/>
        <w:rPr>
          <w:rFonts w:ascii="Calibri" w:eastAsia="Calibri" w:hAnsi="Calibri" w:cs="Calibri"/>
          <w:shd w:val="clear" w:color="auto" w:fill="FCFCFC"/>
        </w:rPr>
      </w:pPr>
    </w:p>
    <w:p w14:paraId="1B03A4EA" w14:textId="77777777" w:rsidR="00FD6E76" w:rsidRDefault="00A840BB">
      <w:pPr>
        <w:shd w:val="clear" w:color="auto" w:fill="FFFFFF"/>
        <w:jc w:val="both"/>
        <w:rPr>
          <w:rFonts w:ascii="Calibri" w:eastAsia="Calibri" w:hAnsi="Calibri" w:cs="Calibri"/>
          <w:shd w:val="clear" w:color="auto" w:fill="FCFCFC"/>
        </w:rPr>
      </w:pPr>
      <w:r>
        <w:rPr>
          <w:rFonts w:ascii="Calibri" w:eastAsia="Calibri" w:hAnsi="Calibri" w:cs="Calibri"/>
        </w:rPr>
        <w:t xml:space="preserve">Table 1. Example Interview guide </w:t>
      </w:r>
    </w:p>
    <w:tbl>
      <w:tblPr>
        <w:tblStyle w:val="a"/>
        <w:tblW w:w="9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10"/>
      </w:tblGrid>
      <w:tr w:rsidR="00FD6E76" w14:paraId="52B33D22" w14:textId="77777777">
        <w:tc>
          <w:tcPr>
            <w:tcW w:w="9210" w:type="dxa"/>
            <w:shd w:val="clear" w:color="auto" w:fill="auto"/>
            <w:tcMar>
              <w:top w:w="100" w:type="dxa"/>
              <w:left w:w="100" w:type="dxa"/>
              <w:bottom w:w="100" w:type="dxa"/>
              <w:right w:w="100" w:type="dxa"/>
            </w:tcMar>
          </w:tcPr>
          <w:p w14:paraId="75DA612C" w14:textId="77777777" w:rsidR="00FD6E76" w:rsidRDefault="00A840BB">
            <w:pPr>
              <w:numPr>
                <w:ilvl w:val="0"/>
                <w:numId w:val="2"/>
              </w:numPr>
              <w:shd w:val="clear" w:color="auto" w:fill="FFFFFF"/>
              <w:jc w:val="both"/>
              <w:rPr>
                <w:rFonts w:ascii="Calibri" w:eastAsia="Calibri" w:hAnsi="Calibri" w:cs="Calibri"/>
                <w:i/>
              </w:rPr>
            </w:pPr>
            <w:r>
              <w:rPr>
                <w:rFonts w:ascii="Calibri" w:eastAsia="Calibri" w:hAnsi="Calibri" w:cs="Calibri"/>
                <w:i/>
              </w:rPr>
              <w:t>What were your initial thoughts and feelings having completed the Osteo-TAQ?</w:t>
            </w:r>
          </w:p>
          <w:p w14:paraId="55CECFB7" w14:textId="77777777" w:rsidR="00FD6E76" w:rsidRDefault="00A840BB">
            <w:pPr>
              <w:numPr>
                <w:ilvl w:val="0"/>
                <w:numId w:val="2"/>
              </w:numPr>
              <w:shd w:val="clear" w:color="auto" w:fill="FFFFFF"/>
              <w:jc w:val="both"/>
              <w:rPr>
                <w:rFonts w:ascii="Calibri" w:eastAsia="Calibri" w:hAnsi="Calibri" w:cs="Calibri"/>
                <w:i/>
              </w:rPr>
            </w:pPr>
            <w:r>
              <w:rPr>
                <w:rFonts w:ascii="Calibri" w:eastAsia="Calibri" w:hAnsi="Calibri" w:cs="Calibri"/>
                <w:i/>
              </w:rPr>
              <w:t>What does the term ‘therapeutic approach’ mean to you?</w:t>
            </w:r>
          </w:p>
          <w:p w14:paraId="7A038DB2" w14:textId="77777777" w:rsidR="00FD6E76" w:rsidRDefault="00A840BB">
            <w:pPr>
              <w:numPr>
                <w:ilvl w:val="0"/>
                <w:numId w:val="2"/>
              </w:numPr>
              <w:shd w:val="clear" w:color="auto" w:fill="FFFFFF"/>
              <w:jc w:val="both"/>
              <w:rPr>
                <w:rFonts w:ascii="Calibri" w:eastAsia="Calibri" w:hAnsi="Calibri" w:cs="Calibri"/>
                <w:i/>
              </w:rPr>
            </w:pPr>
            <w:r>
              <w:rPr>
                <w:rFonts w:ascii="Calibri" w:eastAsia="Calibri" w:hAnsi="Calibri" w:cs="Calibri"/>
                <w:i/>
              </w:rPr>
              <w:t xml:space="preserve">What do you think of when I say the words [from the Osteo-TAQ questionnaire] </w:t>
            </w:r>
            <w:proofErr w:type="gramStart"/>
            <w:r>
              <w:rPr>
                <w:rFonts w:ascii="Calibri" w:eastAsia="Calibri" w:hAnsi="Calibri" w:cs="Calibri"/>
                <w:i/>
              </w:rPr>
              <w:t>…(</w:t>
            </w:r>
            <w:proofErr w:type="spellStart"/>
            <w:proofErr w:type="gramEnd"/>
            <w:r>
              <w:rPr>
                <w:rFonts w:ascii="Calibri" w:eastAsia="Calibri" w:hAnsi="Calibri" w:cs="Calibri"/>
                <w:i/>
              </w:rPr>
              <w:t>eg</w:t>
            </w:r>
            <w:proofErr w:type="spellEnd"/>
            <w:r>
              <w:rPr>
                <w:rFonts w:ascii="Calibri" w:eastAsia="Calibri" w:hAnsi="Calibri" w:cs="Calibri"/>
                <w:i/>
              </w:rPr>
              <w:t xml:space="preserve"> ‘collaboration’, ‘assessment of a patients’ bodies, ‘relying on palpation’)?</w:t>
            </w:r>
          </w:p>
          <w:p w14:paraId="755FED48" w14:textId="77777777" w:rsidR="00FD6E76" w:rsidRDefault="00A840BB">
            <w:pPr>
              <w:numPr>
                <w:ilvl w:val="0"/>
                <w:numId w:val="2"/>
              </w:numPr>
              <w:shd w:val="clear" w:color="auto" w:fill="FFFFFF"/>
              <w:jc w:val="both"/>
              <w:rPr>
                <w:rFonts w:ascii="Calibri" w:eastAsia="Calibri" w:hAnsi="Calibri" w:cs="Calibri"/>
                <w:i/>
              </w:rPr>
            </w:pPr>
            <w:r>
              <w:rPr>
                <w:rFonts w:ascii="Calibri" w:eastAsia="Calibri" w:hAnsi="Calibri" w:cs="Calibri"/>
                <w:i/>
              </w:rPr>
              <w:t>Can you repeat the question I just read out in your own words (interviewer will read out a specific question from the Osteo-TAQ).</w:t>
            </w:r>
          </w:p>
          <w:p w14:paraId="7C1EDAAA" w14:textId="77777777" w:rsidR="00FD6E76" w:rsidRDefault="00A840BB">
            <w:pPr>
              <w:numPr>
                <w:ilvl w:val="0"/>
                <w:numId w:val="2"/>
              </w:numPr>
              <w:shd w:val="clear" w:color="auto" w:fill="FFFFFF"/>
              <w:jc w:val="both"/>
              <w:rPr>
                <w:rFonts w:ascii="Calibri" w:eastAsia="Calibri" w:hAnsi="Calibri" w:cs="Calibri"/>
                <w:i/>
              </w:rPr>
            </w:pPr>
            <w:r>
              <w:rPr>
                <w:rFonts w:ascii="Calibri" w:eastAsia="Calibri" w:hAnsi="Calibri" w:cs="Calibri"/>
                <w:i/>
              </w:rPr>
              <w:t>What does it mean for you to decide on a treatment approach for a patient?</w:t>
            </w:r>
          </w:p>
          <w:p w14:paraId="46B7A12C" w14:textId="77777777" w:rsidR="00FD6E76" w:rsidRDefault="00A840BB">
            <w:pPr>
              <w:numPr>
                <w:ilvl w:val="0"/>
                <w:numId w:val="2"/>
              </w:numPr>
              <w:shd w:val="clear" w:color="auto" w:fill="FFFFFF"/>
              <w:jc w:val="both"/>
              <w:rPr>
                <w:rFonts w:ascii="Calibri" w:eastAsia="Calibri" w:hAnsi="Calibri" w:cs="Calibri"/>
                <w:i/>
              </w:rPr>
            </w:pPr>
            <w:r>
              <w:rPr>
                <w:rFonts w:ascii="Calibri" w:eastAsia="Calibri" w:hAnsi="Calibri" w:cs="Calibri"/>
                <w:i/>
              </w:rPr>
              <w:t>What does it mean for you to individualise your treatment approach?</w:t>
            </w:r>
          </w:p>
          <w:p w14:paraId="0DAEE0BE" w14:textId="77777777" w:rsidR="00FD6E76" w:rsidRDefault="00A840BB">
            <w:pPr>
              <w:numPr>
                <w:ilvl w:val="0"/>
                <w:numId w:val="2"/>
              </w:numPr>
              <w:shd w:val="clear" w:color="auto" w:fill="FFFFFF"/>
              <w:jc w:val="both"/>
              <w:rPr>
                <w:rFonts w:ascii="Calibri" w:eastAsia="Calibri" w:hAnsi="Calibri" w:cs="Calibri"/>
                <w:i/>
              </w:rPr>
            </w:pPr>
            <w:r>
              <w:rPr>
                <w:rFonts w:ascii="Calibri" w:eastAsia="Calibri" w:hAnsi="Calibri" w:cs="Calibri"/>
                <w:i/>
              </w:rPr>
              <w:t>What does it mean to you to be ‘led by the patient’?</w:t>
            </w:r>
          </w:p>
          <w:p w14:paraId="08F07EA4" w14:textId="77777777" w:rsidR="00FD6E76" w:rsidRDefault="00FD6E76">
            <w:pPr>
              <w:shd w:val="clear" w:color="auto" w:fill="FFFFFF"/>
              <w:jc w:val="both"/>
              <w:rPr>
                <w:rFonts w:ascii="Calibri" w:eastAsia="Calibri" w:hAnsi="Calibri" w:cs="Calibri"/>
                <w:i/>
              </w:rPr>
            </w:pPr>
          </w:p>
          <w:p w14:paraId="0D37141A" w14:textId="77777777" w:rsidR="00FD6E76" w:rsidRDefault="00A840BB">
            <w:pPr>
              <w:shd w:val="clear" w:color="auto" w:fill="FFFFFF"/>
              <w:jc w:val="both"/>
              <w:rPr>
                <w:rFonts w:ascii="Calibri" w:eastAsia="Calibri" w:hAnsi="Calibri" w:cs="Calibri"/>
                <w:b/>
                <w:u w:val="single"/>
              </w:rPr>
            </w:pPr>
            <w:r>
              <w:rPr>
                <w:rFonts w:ascii="Calibri" w:eastAsia="Calibri" w:hAnsi="Calibri" w:cs="Calibri"/>
                <w:b/>
                <w:u w:val="single"/>
              </w:rPr>
              <w:t>Follow up questions:</w:t>
            </w:r>
          </w:p>
          <w:p w14:paraId="150AD79B" w14:textId="77777777" w:rsidR="00FD6E76" w:rsidRDefault="00A840BB">
            <w:pPr>
              <w:shd w:val="clear" w:color="auto" w:fill="FFFFFF"/>
              <w:jc w:val="both"/>
              <w:rPr>
                <w:rFonts w:ascii="Calibri" w:eastAsia="Calibri" w:hAnsi="Calibri" w:cs="Calibri"/>
              </w:rPr>
            </w:pPr>
            <w:r>
              <w:rPr>
                <w:rFonts w:ascii="Calibri" w:eastAsia="Calibri" w:hAnsi="Calibri" w:cs="Calibri"/>
              </w:rPr>
              <w:t>How did you arrive at that answer?</w:t>
            </w:r>
          </w:p>
          <w:p w14:paraId="5BFE0496" w14:textId="77777777" w:rsidR="00FD6E76" w:rsidRDefault="00A840BB">
            <w:pPr>
              <w:shd w:val="clear" w:color="auto" w:fill="FFFFFF"/>
              <w:jc w:val="both"/>
              <w:rPr>
                <w:rFonts w:ascii="Calibri" w:eastAsia="Calibri" w:hAnsi="Calibri" w:cs="Calibri"/>
              </w:rPr>
            </w:pPr>
            <w:r>
              <w:rPr>
                <w:rFonts w:ascii="Calibri" w:eastAsia="Calibri" w:hAnsi="Calibri" w:cs="Calibri"/>
              </w:rPr>
              <w:t>Was that easy or hard to answer? Can you say how and why?</w:t>
            </w:r>
          </w:p>
          <w:p w14:paraId="3B02DFEF" w14:textId="77777777" w:rsidR="00FD6E76" w:rsidRDefault="00A840BB">
            <w:pPr>
              <w:shd w:val="clear" w:color="auto" w:fill="FFFFFF"/>
              <w:jc w:val="both"/>
              <w:rPr>
                <w:rFonts w:ascii="Calibri" w:eastAsia="Calibri" w:hAnsi="Calibri" w:cs="Calibri"/>
              </w:rPr>
            </w:pPr>
            <w:r>
              <w:rPr>
                <w:rFonts w:ascii="Calibri" w:eastAsia="Calibri" w:hAnsi="Calibri" w:cs="Calibri"/>
              </w:rPr>
              <w:t>Can you tell me more about your thoughts behind that answer?</w:t>
            </w:r>
          </w:p>
          <w:p w14:paraId="7855ADCF" w14:textId="77777777" w:rsidR="00FD6E76" w:rsidRDefault="00A840BB">
            <w:pPr>
              <w:shd w:val="clear" w:color="auto" w:fill="FFFFFF"/>
              <w:jc w:val="both"/>
              <w:rPr>
                <w:rFonts w:ascii="Calibri" w:eastAsia="Calibri" w:hAnsi="Calibri" w:cs="Calibri"/>
              </w:rPr>
            </w:pPr>
            <w:r>
              <w:rPr>
                <w:rFonts w:ascii="Calibri" w:eastAsia="Calibri" w:hAnsi="Calibri" w:cs="Calibri"/>
              </w:rPr>
              <w:t>What came to mind when you answered that question?</w:t>
            </w:r>
          </w:p>
          <w:p w14:paraId="09F9E42D" w14:textId="77777777" w:rsidR="00FD6E76" w:rsidRDefault="00FD6E76">
            <w:pPr>
              <w:shd w:val="clear" w:color="auto" w:fill="FFFFFF"/>
              <w:jc w:val="both"/>
              <w:rPr>
                <w:rFonts w:ascii="Calibri" w:eastAsia="Calibri" w:hAnsi="Calibri" w:cs="Calibri"/>
                <w:i/>
              </w:rPr>
            </w:pPr>
          </w:p>
        </w:tc>
      </w:tr>
    </w:tbl>
    <w:p w14:paraId="413D1054" w14:textId="77777777" w:rsidR="00FD6E76" w:rsidRDefault="00FD6E76">
      <w:pPr>
        <w:shd w:val="clear" w:color="auto" w:fill="FFFFFF"/>
        <w:spacing w:after="200"/>
        <w:jc w:val="both"/>
        <w:rPr>
          <w:rFonts w:ascii="Calibri" w:eastAsia="Calibri" w:hAnsi="Calibri" w:cs="Calibri"/>
          <w:shd w:val="clear" w:color="auto" w:fill="FCFCFC"/>
        </w:rPr>
      </w:pPr>
    </w:p>
    <w:p w14:paraId="5EA82B39" w14:textId="77777777" w:rsidR="00FD6E76" w:rsidRDefault="00FD6E76">
      <w:pPr>
        <w:shd w:val="clear" w:color="auto" w:fill="FFFFFF"/>
        <w:ind w:left="720"/>
        <w:jc w:val="both"/>
        <w:rPr>
          <w:rFonts w:ascii="Calibri" w:eastAsia="Calibri" w:hAnsi="Calibri" w:cs="Calibri"/>
          <w:i/>
        </w:rPr>
      </w:pPr>
    </w:p>
    <w:p w14:paraId="748F1933" w14:textId="77777777" w:rsidR="00FD6E76" w:rsidRDefault="00FD6E76">
      <w:pPr>
        <w:shd w:val="clear" w:color="auto" w:fill="FFFFFF"/>
        <w:jc w:val="both"/>
        <w:rPr>
          <w:rFonts w:ascii="Calibri" w:eastAsia="Calibri" w:hAnsi="Calibri" w:cs="Calibri"/>
          <w:i/>
          <w:sz w:val="24"/>
          <w:szCs w:val="24"/>
        </w:rPr>
      </w:pPr>
    </w:p>
    <w:p w14:paraId="30C69E28" w14:textId="77777777" w:rsidR="00FD6E76" w:rsidRDefault="00A840BB">
      <w:pPr>
        <w:shd w:val="clear" w:color="auto" w:fill="FFFFFF"/>
        <w:spacing w:after="200"/>
        <w:jc w:val="both"/>
        <w:rPr>
          <w:rFonts w:ascii="Calibri" w:eastAsia="Calibri" w:hAnsi="Calibri" w:cs="Calibri"/>
          <w:i/>
        </w:rPr>
      </w:pPr>
      <w:r>
        <w:rPr>
          <w:rFonts w:ascii="Calibri" w:eastAsia="Calibri" w:hAnsi="Calibri" w:cs="Calibri"/>
          <w:i/>
        </w:rPr>
        <w:t xml:space="preserve">Data analysis </w:t>
      </w:r>
    </w:p>
    <w:p w14:paraId="4EAE3C46" w14:textId="77777777" w:rsidR="00FD6E76" w:rsidRDefault="00A840BB">
      <w:pPr>
        <w:shd w:val="clear" w:color="auto" w:fill="FFFFFF"/>
        <w:spacing w:after="200" w:line="360" w:lineRule="auto"/>
        <w:jc w:val="both"/>
        <w:rPr>
          <w:rFonts w:ascii="Calibri" w:eastAsia="Calibri" w:hAnsi="Calibri" w:cs="Calibri"/>
          <w:color w:val="212121"/>
        </w:rPr>
      </w:pPr>
      <w:r>
        <w:rPr>
          <w:rFonts w:ascii="Calibri" w:eastAsia="Calibri" w:hAnsi="Calibri" w:cs="Calibri"/>
        </w:rPr>
        <w:t xml:space="preserve">Interview recordings were transcribed verbatim using Otter.ai </w:t>
      </w:r>
      <w:hyperlink r:id="rId34">
        <w:r>
          <w:rPr>
            <w:rFonts w:ascii="Calibri" w:eastAsia="Calibri" w:hAnsi="Calibri" w:cs="Calibri"/>
            <w:color w:val="000000"/>
          </w:rPr>
          <w:t>(“</w:t>
        </w:r>
        <w:proofErr w:type="spellStart"/>
        <w:r>
          <w:rPr>
            <w:rFonts w:ascii="Calibri" w:eastAsia="Calibri" w:hAnsi="Calibri" w:cs="Calibri"/>
            <w:color w:val="000000"/>
          </w:rPr>
          <w:t>Otter.Ai</w:t>
        </w:r>
        <w:proofErr w:type="spellEnd"/>
        <w:r>
          <w:rPr>
            <w:rFonts w:ascii="Calibri" w:eastAsia="Calibri" w:hAnsi="Calibri" w:cs="Calibri"/>
            <w:color w:val="000000"/>
          </w:rPr>
          <w:t xml:space="preserve"> - Voice Meeting Notes &amp; Real-Time Transcription,” n.d.)</w:t>
        </w:r>
      </w:hyperlink>
      <w:r>
        <w:rPr>
          <w:rFonts w:ascii="Calibri" w:eastAsia="Calibri" w:hAnsi="Calibri" w:cs="Calibri"/>
        </w:rPr>
        <w:t xml:space="preserve"> transcription software. Generated transcriptions were cross-checked with the audio-recording for accuracy. Data analysis involved three phases. In the first phase two researchers (OT and GM) independently read and re-read all six interview transcripts using qualitative content analysis </w:t>
      </w:r>
      <w:hyperlink r:id="rId35">
        <w:r>
          <w:rPr>
            <w:rFonts w:ascii="Calibri" w:eastAsia="Calibri" w:hAnsi="Calibri" w:cs="Calibri"/>
            <w:color w:val="000000"/>
          </w:rPr>
          <w:t>(</w:t>
        </w:r>
        <w:proofErr w:type="spellStart"/>
        <w:r>
          <w:rPr>
            <w:rFonts w:ascii="Calibri" w:eastAsia="Calibri" w:hAnsi="Calibri" w:cs="Calibri"/>
            <w:color w:val="000000"/>
          </w:rPr>
          <w:t>Kleinheksel</w:t>
        </w:r>
        <w:proofErr w:type="spellEnd"/>
        <w:r>
          <w:rPr>
            <w:rFonts w:ascii="Calibri" w:eastAsia="Calibri" w:hAnsi="Calibri" w:cs="Calibri"/>
            <w:color w:val="000000"/>
          </w:rPr>
          <w:t xml:space="preserve"> et al. 2020)</w:t>
        </w:r>
      </w:hyperlink>
      <w:r>
        <w:rPr>
          <w:rFonts w:ascii="Calibri" w:eastAsia="Calibri" w:hAnsi="Calibri" w:cs="Calibri"/>
        </w:rPr>
        <w:t xml:space="preserve"> to identify any problems with the structure, phrasing and accessibility of the Osteo-TAQ items as identified by participants </w:t>
      </w:r>
      <w:hyperlink r:id="rId36">
        <w:r>
          <w:rPr>
            <w:rFonts w:ascii="Calibri" w:eastAsia="Calibri" w:hAnsi="Calibri" w:cs="Calibri"/>
            <w:color w:val="000000"/>
          </w:rPr>
          <w:t>(Bengtsson 2016)</w:t>
        </w:r>
      </w:hyperlink>
      <w:r>
        <w:rPr>
          <w:rFonts w:ascii="Calibri" w:eastAsia="Calibri" w:hAnsi="Calibri" w:cs="Calibri"/>
        </w:rPr>
        <w:t xml:space="preserve">. </w:t>
      </w:r>
      <w:r>
        <w:rPr>
          <w:rFonts w:ascii="Calibri" w:eastAsia="Calibri" w:hAnsi="Calibri" w:cs="Calibri"/>
          <w:color w:val="212121"/>
        </w:rPr>
        <w:t xml:space="preserve">Briefly, content analysis was chosen as it was able to systemically locate the data about the Osteo-TAQ within predefined categories, rather than other interpretivist qualitative methodologies which seek to build in-depth theories, narratives and descriptions inductively from data such as grounded theory and phenomenology </w:t>
      </w:r>
      <w:hyperlink r:id="rId37">
        <w:r>
          <w:rPr>
            <w:rFonts w:ascii="Calibri" w:eastAsia="Calibri" w:hAnsi="Calibri" w:cs="Calibri"/>
            <w:color w:val="000000"/>
          </w:rPr>
          <w:t>(Petty, Thomson, and Stew 2012)</w:t>
        </w:r>
      </w:hyperlink>
      <w:r>
        <w:rPr>
          <w:rFonts w:ascii="Calibri" w:eastAsia="Calibri" w:hAnsi="Calibri" w:cs="Calibri"/>
          <w:color w:val="212121"/>
        </w:rPr>
        <w:t>; and this feature of content analysis was appropriate for the study’s aims to assess and improve the quality of the Osteo-TAQ survey items prior to utilising the Osteo-TAQ amongst the Australian osteopathic profession.</w:t>
      </w:r>
    </w:p>
    <w:p w14:paraId="0D4B17CF" w14:textId="77777777" w:rsidR="00FD6E76" w:rsidRDefault="00A840BB">
      <w:pPr>
        <w:shd w:val="clear" w:color="auto" w:fill="FFFFFF"/>
        <w:spacing w:after="200" w:line="360" w:lineRule="auto"/>
        <w:jc w:val="both"/>
        <w:rPr>
          <w:b/>
        </w:rPr>
      </w:pPr>
      <w:r>
        <w:rPr>
          <w:rFonts w:ascii="Calibri" w:eastAsia="Calibri" w:hAnsi="Calibri" w:cs="Calibri"/>
        </w:rPr>
        <w:t xml:space="preserve">During this analytical phase the researchers examined the data in relation to the predefined areas of ‘patient’, ‘examination’, ‘treatment’ and ‘management’, which were considered by the research team to be core concepts underpinning the Osteo-TAQ, as based on the Thomson’s original theory </w:t>
      </w:r>
      <w:hyperlink r:id="rId38">
        <w:r>
          <w:rPr>
            <w:rFonts w:ascii="Calibri" w:eastAsia="Calibri" w:hAnsi="Calibri" w:cs="Calibri"/>
            <w:color w:val="000000"/>
          </w:rPr>
          <w:t>(O. P. Thomson, Petty, and Moore 2014b)</w:t>
        </w:r>
      </w:hyperlink>
      <w:r>
        <w:rPr>
          <w:rFonts w:ascii="Calibri" w:eastAsia="Calibri" w:hAnsi="Calibri" w:cs="Calibri"/>
        </w:rPr>
        <w:t xml:space="preserve">. Furthermore, they scrutinised the interviews for any potential issues of clarity and ambiguity. At the end of Phase 1 both researchers (OT and GM) met to discuss their analysis and identify any major problems. They jointly developed a single ‘problem framework’ that was reviewed by a third researcher (MF) in Phase 2. During this second phase, MF reviewed the framework and ensured interviewee data and the researchers' perspectives were consistent and provided further analytical comments. These comments were discussed in the third phase of data analysis. During the third and final phase, the researchers comprising OT, GM, MF and BV collectively discussed the problems identified in the previous phases and reached a consensus on which items required amendments and the exact nature of any amendments to the Osteo-TAQ (Table 3, column 6). </w:t>
      </w:r>
    </w:p>
    <w:p w14:paraId="14DD1387" w14:textId="77777777" w:rsidR="00FD6E76" w:rsidRDefault="00FD6E76">
      <w:pPr>
        <w:spacing w:line="360" w:lineRule="auto"/>
        <w:rPr>
          <w:b/>
        </w:rPr>
      </w:pPr>
    </w:p>
    <w:p w14:paraId="0042E5C8" w14:textId="77777777" w:rsidR="00FD6E76" w:rsidRDefault="00A840BB">
      <w:pPr>
        <w:spacing w:line="360" w:lineRule="auto"/>
        <w:rPr>
          <w:b/>
        </w:rPr>
      </w:pPr>
      <w:r>
        <w:rPr>
          <w:b/>
        </w:rPr>
        <w:t>Results</w:t>
      </w:r>
    </w:p>
    <w:p w14:paraId="2175E4ED" w14:textId="77777777" w:rsidR="00FD6E76" w:rsidRDefault="00FD6E76">
      <w:pPr>
        <w:spacing w:line="360" w:lineRule="auto"/>
        <w:rPr>
          <w:b/>
        </w:rPr>
      </w:pPr>
    </w:p>
    <w:p w14:paraId="42DC2593" w14:textId="77777777" w:rsidR="00FD6E76" w:rsidRDefault="00A840BB">
      <w:pPr>
        <w:spacing w:line="360" w:lineRule="auto"/>
        <w:rPr>
          <w:rFonts w:ascii="Calibri" w:eastAsia="Calibri" w:hAnsi="Calibri" w:cs="Calibri"/>
        </w:rPr>
      </w:pPr>
      <w:r>
        <w:rPr>
          <w:rFonts w:ascii="Calibri" w:eastAsia="Calibri" w:hAnsi="Calibri" w:cs="Calibri"/>
        </w:rPr>
        <w:t xml:space="preserve">Participants </w:t>
      </w:r>
    </w:p>
    <w:p w14:paraId="129A5996" w14:textId="77777777" w:rsidR="00FD6E76" w:rsidRDefault="00A840BB">
      <w:pPr>
        <w:spacing w:before="240" w:after="40" w:line="360" w:lineRule="auto"/>
        <w:rPr>
          <w:rFonts w:ascii="Calibri" w:eastAsia="Calibri" w:hAnsi="Calibri" w:cs="Calibri"/>
          <w:i/>
        </w:rPr>
      </w:pPr>
      <w:r>
        <w:rPr>
          <w:rFonts w:ascii="Calibri" w:eastAsia="Calibri" w:hAnsi="Calibri" w:cs="Calibri"/>
          <w:highlight w:val="white"/>
        </w:rPr>
        <w:lastRenderedPageBreak/>
        <w:t xml:space="preserve">A purposive sample of six Australian registered osteopaths (n = 6) participated in this study, exhibiting variation in their professional characteristics such as clinical experience, clinical interests, and practice setting, as well as age and gender. </w:t>
      </w:r>
      <w:r>
        <w:rPr>
          <w:rFonts w:ascii="Calibri" w:eastAsia="Calibri" w:hAnsi="Calibri" w:cs="Calibri"/>
        </w:rPr>
        <w:t xml:space="preserve">The backgrounds of participants are summarised in Table 2.  </w:t>
      </w:r>
    </w:p>
    <w:p w14:paraId="466B9985" w14:textId="77777777" w:rsidR="00FD6E76" w:rsidRDefault="00FD6E76">
      <w:pPr>
        <w:shd w:val="clear" w:color="auto" w:fill="FFFFFF"/>
        <w:spacing w:after="200"/>
        <w:jc w:val="both"/>
        <w:rPr>
          <w:rFonts w:ascii="Calibri" w:eastAsia="Calibri" w:hAnsi="Calibri" w:cs="Calibri"/>
          <w:i/>
        </w:rPr>
      </w:pPr>
    </w:p>
    <w:p w14:paraId="28ED6ED7" w14:textId="77777777" w:rsidR="00FD6E76" w:rsidRDefault="00A840BB">
      <w:pPr>
        <w:shd w:val="clear" w:color="auto" w:fill="FFFFFF"/>
        <w:spacing w:after="200"/>
        <w:jc w:val="both"/>
        <w:rPr>
          <w:rFonts w:ascii="Calibri" w:eastAsia="Calibri" w:hAnsi="Calibri" w:cs="Calibri"/>
        </w:rPr>
      </w:pPr>
      <w:r>
        <w:rPr>
          <w:rFonts w:ascii="Calibri" w:eastAsia="Calibri" w:hAnsi="Calibri" w:cs="Calibri"/>
        </w:rPr>
        <w:t>Table 2. Professional and demographic background of participants</w:t>
      </w:r>
    </w:p>
    <w:tbl>
      <w:tblPr>
        <w:tblStyle w:val="a0"/>
        <w:tblW w:w="5820" w:type="dxa"/>
        <w:tblBorders>
          <w:top w:val="nil"/>
          <w:left w:val="nil"/>
          <w:bottom w:val="nil"/>
          <w:right w:val="nil"/>
          <w:insideH w:val="nil"/>
          <w:insideV w:val="nil"/>
        </w:tblBorders>
        <w:tblLayout w:type="fixed"/>
        <w:tblLook w:val="0600" w:firstRow="0" w:lastRow="0" w:firstColumn="0" w:lastColumn="0" w:noHBand="1" w:noVBand="1"/>
      </w:tblPr>
      <w:tblGrid>
        <w:gridCol w:w="3600"/>
        <w:gridCol w:w="2220"/>
      </w:tblGrid>
      <w:tr w:rsidR="00FD6E76" w14:paraId="27BAD77A" w14:textId="77777777">
        <w:trPr>
          <w:trHeight w:val="255"/>
        </w:trPr>
        <w:tc>
          <w:tcPr>
            <w:tcW w:w="5820" w:type="dxa"/>
            <w:gridSpan w:val="2"/>
            <w:tcBorders>
              <w:top w:val="single" w:sz="5" w:space="0" w:color="7F7F7F"/>
              <w:left w:val="nil"/>
              <w:bottom w:val="single" w:sz="5" w:space="0" w:color="7F7F7F"/>
              <w:right w:val="nil"/>
            </w:tcBorders>
            <w:shd w:val="clear" w:color="auto" w:fill="E7E6E6"/>
            <w:tcMar>
              <w:top w:w="0" w:type="dxa"/>
              <w:left w:w="100" w:type="dxa"/>
              <w:bottom w:w="0" w:type="dxa"/>
              <w:right w:w="100" w:type="dxa"/>
            </w:tcMar>
          </w:tcPr>
          <w:p w14:paraId="37C1FAAF" w14:textId="77777777" w:rsidR="00FD6E76" w:rsidRDefault="00A840BB">
            <w:pPr>
              <w:shd w:val="clear" w:color="auto" w:fill="FFFFFF"/>
              <w:jc w:val="both"/>
              <w:rPr>
                <w:rFonts w:ascii="Calibri" w:eastAsia="Calibri" w:hAnsi="Calibri" w:cs="Calibri"/>
                <w:b/>
                <w:sz w:val="20"/>
                <w:szCs w:val="20"/>
              </w:rPr>
            </w:pPr>
            <w:r>
              <w:rPr>
                <w:rFonts w:ascii="Calibri" w:eastAsia="Calibri" w:hAnsi="Calibri" w:cs="Calibri"/>
                <w:b/>
                <w:sz w:val="20"/>
                <w:szCs w:val="20"/>
              </w:rPr>
              <w:t>Gender</w:t>
            </w:r>
          </w:p>
        </w:tc>
      </w:tr>
      <w:tr w:rsidR="00FD6E76" w14:paraId="48FA40F5" w14:textId="77777777">
        <w:trPr>
          <w:trHeight w:val="255"/>
        </w:trPr>
        <w:tc>
          <w:tcPr>
            <w:tcW w:w="3600" w:type="dxa"/>
            <w:tcBorders>
              <w:top w:val="nil"/>
              <w:left w:val="nil"/>
              <w:bottom w:val="single" w:sz="5" w:space="0" w:color="7F7F7F"/>
              <w:right w:val="nil"/>
            </w:tcBorders>
            <w:shd w:val="clear" w:color="auto" w:fill="auto"/>
            <w:tcMar>
              <w:top w:w="0" w:type="dxa"/>
              <w:left w:w="100" w:type="dxa"/>
              <w:bottom w:w="0" w:type="dxa"/>
              <w:right w:w="100" w:type="dxa"/>
            </w:tcMar>
          </w:tcPr>
          <w:p w14:paraId="45E93D3C"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Female</w:t>
            </w:r>
          </w:p>
        </w:tc>
        <w:tc>
          <w:tcPr>
            <w:tcW w:w="2220" w:type="dxa"/>
            <w:tcBorders>
              <w:top w:val="nil"/>
              <w:left w:val="nil"/>
              <w:bottom w:val="single" w:sz="5" w:space="0" w:color="7F7F7F"/>
              <w:right w:val="nil"/>
            </w:tcBorders>
            <w:shd w:val="clear" w:color="auto" w:fill="auto"/>
            <w:tcMar>
              <w:top w:w="0" w:type="dxa"/>
              <w:left w:w="100" w:type="dxa"/>
              <w:bottom w:w="0" w:type="dxa"/>
              <w:right w:w="100" w:type="dxa"/>
            </w:tcMar>
          </w:tcPr>
          <w:p w14:paraId="1FDEFF70"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2</w:t>
            </w:r>
          </w:p>
        </w:tc>
      </w:tr>
      <w:tr w:rsidR="00FD6E76" w14:paraId="2277F2DF" w14:textId="77777777">
        <w:trPr>
          <w:trHeight w:val="255"/>
        </w:trPr>
        <w:tc>
          <w:tcPr>
            <w:tcW w:w="3600" w:type="dxa"/>
            <w:tcBorders>
              <w:top w:val="nil"/>
              <w:left w:val="nil"/>
              <w:bottom w:val="nil"/>
              <w:right w:val="nil"/>
            </w:tcBorders>
            <w:shd w:val="clear" w:color="auto" w:fill="auto"/>
            <w:tcMar>
              <w:top w:w="0" w:type="dxa"/>
              <w:left w:w="100" w:type="dxa"/>
              <w:bottom w:w="0" w:type="dxa"/>
              <w:right w:w="100" w:type="dxa"/>
            </w:tcMar>
          </w:tcPr>
          <w:p w14:paraId="439AC59B"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Male</w:t>
            </w:r>
          </w:p>
        </w:tc>
        <w:tc>
          <w:tcPr>
            <w:tcW w:w="2220" w:type="dxa"/>
            <w:tcBorders>
              <w:top w:val="nil"/>
              <w:left w:val="nil"/>
              <w:bottom w:val="nil"/>
              <w:right w:val="nil"/>
            </w:tcBorders>
            <w:shd w:val="clear" w:color="auto" w:fill="auto"/>
            <w:tcMar>
              <w:top w:w="0" w:type="dxa"/>
              <w:left w:w="100" w:type="dxa"/>
              <w:bottom w:w="0" w:type="dxa"/>
              <w:right w:w="100" w:type="dxa"/>
            </w:tcMar>
          </w:tcPr>
          <w:p w14:paraId="239B938B"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4</w:t>
            </w:r>
          </w:p>
        </w:tc>
      </w:tr>
      <w:tr w:rsidR="00FD6E76" w14:paraId="008185B2" w14:textId="77777777">
        <w:trPr>
          <w:trHeight w:val="255"/>
        </w:trPr>
        <w:tc>
          <w:tcPr>
            <w:tcW w:w="5820" w:type="dxa"/>
            <w:gridSpan w:val="2"/>
            <w:tcBorders>
              <w:top w:val="single" w:sz="5" w:space="0" w:color="7F7F7F"/>
              <w:left w:val="nil"/>
              <w:bottom w:val="single" w:sz="5" w:space="0" w:color="7F7F7F"/>
              <w:right w:val="nil"/>
            </w:tcBorders>
            <w:shd w:val="clear" w:color="auto" w:fill="E7E6E6"/>
            <w:tcMar>
              <w:top w:w="0" w:type="dxa"/>
              <w:left w:w="100" w:type="dxa"/>
              <w:bottom w:w="0" w:type="dxa"/>
              <w:right w:w="100" w:type="dxa"/>
            </w:tcMar>
          </w:tcPr>
          <w:p w14:paraId="6EAD1167" w14:textId="77777777" w:rsidR="00FD6E76" w:rsidRDefault="00A840BB">
            <w:pPr>
              <w:shd w:val="clear" w:color="auto" w:fill="FFFFFF"/>
              <w:jc w:val="both"/>
              <w:rPr>
                <w:rFonts w:ascii="Calibri" w:eastAsia="Calibri" w:hAnsi="Calibri" w:cs="Calibri"/>
                <w:b/>
                <w:sz w:val="20"/>
                <w:szCs w:val="20"/>
              </w:rPr>
            </w:pPr>
            <w:r>
              <w:rPr>
                <w:rFonts w:ascii="Calibri" w:eastAsia="Calibri" w:hAnsi="Calibri" w:cs="Calibri"/>
                <w:b/>
                <w:sz w:val="20"/>
                <w:szCs w:val="20"/>
              </w:rPr>
              <w:t>Age</w:t>
            </w:r>
          </w:p>
        </w:tc>
      </w:tr>
      <w:tr w:rsidR="00FD6E76" w14:paraId="232D1A0C" w14:textId="77777777">
        <w:trPr>
          <w:trHeight w:val="255"/>
        </w:trPr>
        <w:tc>
          <w:tcPr>
            <w:tcW w:w="3600" w:type="dxa"/>
            <w:tcBorders>
              <w:top w:val="nil"/>
              <w:left w:val="nil"/>
              <w:bottom w:val="nil"/>
              <w:right w:val="nil"/>
            </w:tcBorders>
            <w:shd w:val="clear" w:color="auto" w:fill="auto"/>
            <w:tcMar>
              <w:top w:w="0" w:type="dxa"/>
              <w:left w:w="100" w:type="dxa"/>
              <w:bottom w:w="0" w:type="dxa"/>
              <w:right w:w="100" w:type="dxa"/>
            </w:tcMar>
          </w:tcPr>
          <w:p w14:paraId="03F2B916"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20-29</w:t>
            </w:r>
          </w:p>
        </w:tc>
        <w:tc>
          <w:tcPr>
            <w:tcW w:w="2220" w:type="dxa"/>
            <w:tcBorders>
              <w:top w:val="nil"/>
              <w:left w:val="nil"/>
              <w:bottom w:val="nil"/>
              <w:right w:val="nil"/>
            </w:tcBorders>
            <w:shd w:val="clear" w:color="auto" w:fill="auto"/>
            <w:tcMar>
              <w:top w:w="0" w:type="dxa"/>
              <w:left w:w="100" w:type="dxa"/>
              <w:bottom w:w="0" w:type="dxa"/>
              <w:right w:w="100" w:type="dxa"/>
            </w:tcMar>
          </w:tcPr>
          <w:p w14:paraId="11B3360C"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1</w:t>
            </w:r>
          </w:p>
        </w:tc>
      </w:tr>
      <w:tr w:rsidR="00FD6E76" w14:paraId="1CE2881E" w14:textId="77777777">
        <w:trPr>
          <w:trHeight w:val="255"/>
        </w:trPr>
        <w:tc>
          <w:tcPr>
            <w:tcW w:w="3600" w:type="dxa"/>
            <w:tcBorders>
              <w:top w:val="single" w:sz="5" w:space="0" w:color="7F7F7F"/>
              <w:left w:val="nil"/>
              <w:bottom w:val="single" w:sz="5" w:space="0" w:color="7F7F7F"/>
              <w:right w:val="nil"/>
            </w:tcBorders>
            <w:shd w:val="clear" w:color="auto" w:fill="auto"/>
            <w:tcMar>
              <w:top w:w="0" w:type="dxa"/>
              <w:left w:w="100" w:type="dxa"/>
              <w:bottom w:w="0" w:type="dxa"/>
              <w:right w:w="100" w:type="dxa"/>
            </w:tcMar>
          </w:tcPr>
          <w:p w14:paraId="144D14F6"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30-39</w:t>
            </w:r>
          </w:p>
        </w:tc>
        <w:tc>
          <w:tcPr>
            <w:tcW w:w="2220" w:type="dxa"/>
            <w:tcBorders>
              <w:top w:val="single" w:sz="5" w:space="0" w:color="7F7F7F"/>
              <w:left w:val="nil"/>
              <w:bottom w:val="single" w:sz="5" w:space="0" w:color="7F7F7F"/>
              <w:right w:val="nil"/>
            </w:tcBorders>
            <w:shd w:val="clear" w:color="auto" w:fill="auto"/>
            <w:tcMar>
              <w:top w:w="0" w:type="dxa"/>
              <w:left w:w="100" w:type="dxa"/>
              <w:bottom w:w="0" w:type="dxa"/>
              <w:right w:w="100" w:type="dxa"/>
            </w:tcMar>
          </w:tcPr>
          <w:p w14:paraId="6C29DBCF" w14:textId="77777777" w:rsidR="00FD6E76" w:rsidRDefault="00A840BB">
            <w:pPr>
              <w:shd w:val="clear" w:color="auto" w:fill="FFFFFF"/>
              <w:jc w:val="both"/>
            </w:pPr>
            <w:r>
              <w:rPr>
                <w:rFonts w:ascii="Calibri" w:eastAsia="Calibri" w:hAnsi="Calibri" w:cs="Calibri"/>
                <w:sz w:val="20"/>
                <w:szCs w:val="20"/>
              </w:rPr>
              <w:t>4</w:t>
            </w:r>
          </w:p>
        </w:tc>
      </w:tr>
      <w:tr w:rsidR="00FD6E76" w14:paraId="60D2A23F" w14:textId="77777777">
        <w:trPr>
          <w:trHeight w:val="255"/>
        </w:trPr>
        <w:tc>
          <w:tcPr>
            <w:tcW w:w="3600" w:type="dxa"/>
            <w:tcBorders>
              <w:top w:val="nil"/>
              <w:left w:val="nil"/>
              <w:bottom w:val="nil"/>
              <w:right w:val="nil"/>
            </w:tcBorders>
            <w:shd w:val="clear" w:color="auto" w:fill="auto"/>
            <w:tcMar>
              <w:top w:w="0" w:type="dxa"/>
              <w:left w:w="100" w:type="dxa"/>
              <w:bottom w:w="0" w:type="dxa"/>
              <w:right w:w="100" w:type="dxa"/>
            </w:tcMar>
          </w:tcPr>
          <w:p w14:paraId="398C9A60"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40-49</w:t>
            </w:r>
          </w:p>
        </w:tc>
        <w:tc>
          <w:tcPr>
            <w:tcW w:w="2220" w:type="dxa"/>
            <w:tcBorders>
              <w:top w:val="nil"/>
              <w:left w:val="nil"/>
              <w:bottom w:val="nil"/>
              <w:right w:val="nil"/>
            </w:tcBorders>
            <w:shd w:val="clear" w:color="auto" w:fill="auto"/>
            <w:tcMar>
              <w:top w:w="0" w:type="dxa"/>
              <w:left w:w="100" w:type="dxa"/>
              <w:bottom w:w="0" w:type="dxa"/>
              <w:right w:w="100" w:type="dxa"/>
            </w:tcMar>
          </w:tcPr>
          <w:p w14:paraId="620B268C"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1</w:t>
            </w:r>
          </w:p>
        </w:tc>
      </w:tr>
      <w:tr w:rsidR="00FD6E76" w14:paraId="33255FE1" w14:textId="77777777">
        <w:trPr>
          <w:trHeight w:val="255"/>
        </w:trPr>
        <w:tc>
          <w:tcPr>
            <w:tcW w:w="3600" w:type="dxa"/>
            <w:tcBorders>
              <w:top w:val="single" w:sz="5" w:space="0" w:color="7F7F7F"/>
              <w:left w:val="nil"/>
              <w:bottom w:val="single" w:sz="5" w:space="0" w:color="7F7F7F"/>
              <w:right w:val="nil"/>
            </w:tcBorders>
            <w:shd w:val="clear" w:color="auto" w:fill="E7E6E6"/>
            <w:tcMar>
              <w:top w:w="0" w:type="dxa"/>
              <w:left w:w="100" w:type="dxa"/>
              <w:bottom w:w="0" w:type="dxa"/>
              <w:right w:w="100" w:type="dxa"/>
            </w:tcMar>
          </w:tcPr>
          <w:p w14:paraId="0BA73F7B" w14:textId="77777777" w:rsidR="00FD6E76" w:rsidRDefault="00A840BB">
            <w:pPr>
              <w:shd w:val="clear" w:color="auto" w:fill="FFFFFF"/>
              <w:jc w:val="both"/>
              <w:rPr>
                <w:rFonts w:ascii="Calibri" w:eastAsia="Calibri" w:hAnsi="Calibri" w:cs="Calibri"/>
                <w:b/>
                <w:sz w:val="20"/>
                <w:szCs w:val="20"/>
              </w:rPr>
            </w:pPr>
            <w:r>
              <w:rPr>
                <w:rFonts w:ascii="Calibri" w:eastAsia="Calibri" w:hAnsi="Calibri" w:cs="Calibri"/>
                <w:b/>
                <w:sz w:val="20"/>
                <w:szCs w:val="20"/>
              </w:rPr>
              <w:t>Clinical Setting</w:t>
            </w:r>
          </w:p>
        </w:tc>
        <w:tc>
          <w:tcPr>
            <w:tcW w:w="2220" w:type="dxa"/>
            <w:tcBorders>
              <w:top w:val="single" w:sz="5" w:space="0" w:color="7F7F7F"/>
              <w:left w:val="nil"/>
              <w:bottom w:val="single" w:sz="5" w:space="0" w:color="7F7F7F"/>
              <w:right w:val="nil"/>
            </w:tcBorders>
            <w:shd w:val="clear" w:color="auto" w:fill="E7E6E6"/>
            <w:tcMar>
              <w:top w:w="0" w:type="dxa"/>
              <w:left w:w="100" w:type="dxa"/>
              <w:bottom w:w="0" w:type="dxa"/>
              <w:right w:w="100" w:type="dxa"/>
            </w:tcMar>
          </w:tcPr>
          <w:p w14:paraId="2A3AF713"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 xml:space="preserve"> </w:t>
            </w:r>
          </w:p>
        </w:tc>
      </w:tr>
      <w:tr w:rsidR="00FD6E76" w14:paraId="0D18DACD" w14:textId="77777777">
        <w:trPr>
          <w:trHeight w:val="255"/>
        </w:trPr>
        <w:tc>
          <w:tcPr>
            <w:tcW w:w="3600" w:type="dxa"/>
            <w:tcBorders>
              <w:top w:val="nil"/>
              <w:left w:val="nil"/>
              <w:bottom w:val="nil"/>
              <w:right w:val="nil"/>
            </w:tcBorders>
            <w:shd w:val="clear" w:color="auto" w:fill="auto"/>
            <w:tcMar>
              <w:top w:w="0" w:type="dxa"/>
              <w:left w:w="100" w:type="dxa"/>
              <w:bottom w:w="0" w:type="dxa"/>
              <w:right w:w="100" w:type="dxa"/>
            </w:tcMar>
          </w:tcPr>
          <w:p w14:paraId="3BDC1B9F"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Private/Solo practice</w:t>
            </w:r>
          </w:p>
        </w:tc>
        <w:tc>
          <w:tcPr>
            <w:tcW w:w="2220" w:type="dxa"/>
            <w:tcBorders>
              <w:top w:val="nil"/>
              <w:left w:val="nil"/>
              <w:bottom w:val="nil"/>
              <w:right w:val="nil"/>
            </w:tcBorders>
            <w:shd w:val="clear" w:color="auto" w:fill="auto"/>
            <w:tcMar>
              <w:top w:w="0" w:type="dxa"/>
              <w:left w:w="100" w:type="dxa"/>
              <w:bottom w:w="0" w:type="dxa"/>
              <w:right w:w="100" w:type="dxa"/>
            </w:tcMar>
          </w:tcPr>
          <w:p w14:paraId="061C7749"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 xml:space="preserve"> </w:t>
            </w:r>
          </w:p>
        </w:tc>
      </w:tr>
      <w:tr w:rsidR="00FD6E76" w14:paraId="0D5C433B" w14:textId="77777777">
        <w:trPr>
          <w:trHeight w:val="255"/>
        </w:trPr>
        <w:tc>
          <w:tcPr>
            <w:tcW w:w="3600" w:type="dxa"/>
            <w:tcBorders>
              <w:top w:val="single" w:sz="5" w:space="0" w:color="7F7F7F"/>
              <w:left w:val="nil"/>
              <w:bottom w:val="single" w:sz="5" w:space="0" w:color="7F7F7F"/>
              <w:right w:val="nil"/>
            </w:tcBorders>
            <w:shd w:val="clear" w:color="auto" w:fill="auto"/>
            <w:tcMar>
              <w:top w:w="0" w:type="dxa"/>
              <w:left w:w="100" w:type="dxa"/>
              <w:bottom w:w="0" w:type="dxa"/>
              <w:right w:w="100" w:type="dxa"/>
            </w:tcMar>
          </w:tcPr>
          <w:p w14:paraId="0D8EB58E"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Private Group practice</w:t>
            </w:r>
          </w:p>
        </w:tc>
        <w:tc>
          <w:tcPr>
            <w:tcW w:w="2220" w:type="dxa"/>
            <w:tcBorders>
              <w:top w:val="single" w:sz="5" w:space="0" w:color="7F7F7F"/>
              <w:left w:val="nil"/>
              <w:bottom w:val="single" w:sz="5" w:space="0" w:color="7F7F7F"/>
              <w:right w:val="nil"/>
            </w:tcBorders>
            <w:shd w:val="clear" w:color="auto" w:fill="auto"/>
            <w:tcMar>
              <w:top w:w="0" w:type="dxa"/>
              <w:left w:w="100" w:type="dxa"/>
              <w:bottom w:w="0" w:type="dxa"/>
              <w:right w:w="100" w:type="dxa"/>
            </w:tcMar>
          </w:tcPr>
          <w:p w14:paraId="36D7BC36"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6</w:t>
            </w:r>
          </w:p>
        </w:tc>
      </w:tr>
      <w:tr w:rsidR="00FD6E76" w14:paraId="3B190852" w14:textId="77777777">
        <w:trPr>
          <w:trHeight w:val="255"/>
        </w:trPr>
        <w:tc>
          <w:tcPr>
            <w:tcW w:w="5820" w:type="dxa"/>
            <w:gridSpan w:val="2"/>
            <w:tcBorders>
              <w:top w:val="nil"/>
              <w:left w:val="nil"/>
              <w:bottom w:val="nil"/>
              <w:right w:val="nil"/>
            </w:tcBorders>
            <w:shd w:val="clear" w:color="auto" w:fill="E7E6E6"/>
            <w:tcMar>
              <w:top w:w="0" w:type="dxa"/>
              <w:left w:w="100" w:type="dxa"/>
              <w:bottom w:w="0" w:type="dxa"/>
              <w:right w:w="100" w:type="dxa"/>
            </w:tcMar>
          </w:tcPr>
          <w:p w14:paraId="278BD938" w14:textId="77777777" w:rsidR="00FD6E76" w:rsidRDefault="00A840BB">
            <w:pPr>
              <w:shd w:val="clear" w:color="auto" w:fill="FFFFFF"/>
              <w:jc w:val="both"/>
              <w:rPr>
                <w:rFonts w:ascii="Calibri" w:eastAsia="Calibri" w:hAnsi="Calibri" w:cs="Calibri"/>
                <w:b/>
                <w:sz w:val="20"/>
                <w:szCs w:val="20"/>
              </w:rPr>
            </w:pPr>
            <w:r>
              <w:rPr>
                <w:rFonts w:ascii="Calibri" w:eastAsia="Calibri" w:hAnsi="Calibri" w:cs="Calibri"/>
                <w:b/>
                <w:sz w:val="20"/>
                <w:szCs w:val="20"/>
              </w:rPr>
              <w:t>Hours in clinical practice per week</w:t>
            </w:r>
          </w:p>
        </w:tc>
      </w:tr>
      <w:tr w:rsidR="00FD6E76" w14:paraId="3A2AE61E" w14:textId="77777777">
        <w:trPr>
          <w:trHeight w:val="255"/>
        </w:trPr>
        <w:tc>
          <w:tcPr>
            <w:tcW w:w="3600" w:type="dxa"/>
            <w:tcBorders>
              <w:top w:val="single" w:sz="5" w:space="0" w:color="7F7F7F"/>
              <w:left w:val="nil"/>
              <w:bottom w:val="single" w:sz="5" w:space="0" w:color="7F7F7F"/>
              <w:right w:val="nil"/>
            </w:tcBorders>
            <w:shd w:val="clear" w:color="auto" w:fill="auto"/>
            <w:tcMar>
              <w:top w:w="0" w:type="dxa"/>
              <w:left w:w="100" w:type="dxa"/>
              <w:bottom w:w="0" w:type="dxa"/>
              <w:right w:w="100" w:type="dxa"/>
            </w:tcMar>
          </w:tcPr>
          <w:p w14:paraId="4A60F67F"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&lt; 10</w:t>
            </w:r>
          </w:p>
        </w:tc>
        <w:tc>
          <w:tcPr>
            <w:tcW w:w="2220" w:type="dxa"/>
            <w:tcBorders>
              <w:top w:val="single" w:sz="5" w:space="0" w:color="7F7F7F"/>
              <w:left w:val="nil"/>
              <w:bottom w:val="single" w:sz="5" w:space="0" w:color="7F7F7F"/>
              <w:right w:val="nil"/>
            </w:tcBorders>
            <w:shd w:val="clear" w:color="auto" w:fill="auto"/>
            <w:tcMar>
              <w:top w:w="0" w:type="dxa"/>
              <w:left w:w="100" w:type="dxa"/>
              <w:bottom w:w="0" w:type="dxa"/>
              <w:right w:w="100" w:type="dxa"/>
            </w:tcMar>
          </w:tcPr>
          <w:p w14:paraId="04DD55A2"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 xml:space="preserve"> </w:t>
            </w:r>
          </w:p>
        </w:tc>
      </w:tr>
      <w:tr w:rsidR="00FD6E76" w14:paraId="05864171" w14:textId="77777777">
        <w:trPr>
          <w:trHeight w:val="255"/>
        </w:trPr>
        <w:tc>
          <w:tcPr>
            <w:tcW w:w="3600" w:type="dxa"/>
            <w:tcBorders>
              <w:top w:val="nil"/>
              <w:left w:val="nil"/>
              <w:bottom w:val="nil"/>
              <w:right w:val="nil"/>
            </w:tcBorders>
            <w:shd w:val="clear" w:color="auto" w:fill="auto"/>
            <w:tcMar>
              <w:top w:w="0" w:type="dxa"/>
              <w:left w:w="100" w:type="dxa"/>
              <w:bottom w:w="0" w:type="dxa"/>
              <w:right w:w="100" w:type="dxa"/>
            </w:tcMar>
          </w:tcPr>
          <w:p w14:paraId="1ACAE491"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 xml:space="preserve">10-19 </w:t>
            </w:r>
          </w:p>
        </w:tc>
        <w:tc>
          <w:tcPr>
            <w:tcW w:w="2220" w:type="dxa"/>
            <w:tcBorders>
              <w:top w:val="nil"/>
              <w:left w:val="nil"/>
              <w:bottom w:val="nil"/>
              <w:right w:val="nil"/>
            </w:tcBorders>
            <w:shd w:val="clear" w:color="auto" w:fill="auto"/>
            <w:tcMar>
              <w:top w:w="0" w:type="dxa"/>
              <w:left w:w="100" w:type="dxa"/>
              <w:bottom w:w="0" w:type="dxa"/>
              <w:right w:w="100" w:type="dxa"/>
            </w:tcMar>
          </w:tcPr>
          <w:p w14:paraId="74AF5614"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 xml:space="preserve"> 1</w:t>
            </w:r>
          </w:p>
        </w:tc>
      </w:tr>
      <w:tr w:rsidR="00FD6E76" w14:paraId="4A86C9B1" w14:textId="77777777">
        <w:trPr>
          <w:trHeight w:val="255"/>
        </w:trPr>
        <w:tc>
          <w:tcPr>
            <w:tcW w:w="3600" w:type="dxa"/>
            <w:tcBorders>
              <w:top w:val="single" w:sz="5" w:space="0" w:color="7F7F7F"/>
              <w:left w:val="nil"/>
              <w:bottom w:val="single" w:sz="5" w:space="0" w:color="7F7F7F"/>
              <w:right w:val="nil"/>
            </w:tcBorders>
            <w:shd w:val="clear" w:color="auto" w:fill="auto"/>
            <w:tcMar>
              <w:top w:w="0" w:type="dxa"/>
              <w:left w:w="100" w:type="dxa"/>
              <w:bottom w:w="0" w:type="dxa"/>
              <w:right w:w="100" w:type="dxa"/>
            </w:tcMar>
          </w:tcPr>
          <w:p w14:paraId="0A894F6A"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20-29</w:t>
            </w:r>
          </w:p>
        </w:tc>
        <w:tc>
          <w:tcPr>
            <w:tcW w:w="2220" w:type="dxa"/>
            <w:tcBorders>
              <w:top w:val="single" w:sz="5" w:space="0" w:color="7F7F7F"/>
              <w:left w:val="nil"/>
              <w:bottom w:val="single" w:sz="5" w:space="0" w:color="7F7F7F"/>
              <w:right w:val="nil"/>
            </w:tcBorders>
            <w:shd w:val="clear" w:color="auto" w:fill="auto"/>
            <w:tcMar>
              <w:top w:w="0" w:type="dxa"/>
              <w:left w:w="100" w:type="dxa"/>
              <w:bottom w:w="0" w:type="dxa"/>
              <w:right w:w="100" w:type="dxa"/>
            </w:tcMar>
          </w:tcPr>
          <w:p w14:paraId="50B8544C"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2</w:t>
            </w:r>
          </w:p>
        </w:tc>
      </w:tr>
      <w:tr w:rsidR="00FD6E76" w14:paraId="52845126" w14:textId="77777777">
        <w:trPr>
          <w:trHeight w:val="255"/>
        </w:trPr>
        <w:tc>
          <w:tcPr>
            <w:tcW w:w="3600" w:type="dxa"/>
            <w:tcBorders>
              <w:top w:val="nil"/>
              <w:left w:val="nil"/>
              <w:bottom w:val="nil"/>
              <w:right w:val="nil"/>
            </w:tcBorders>
            <w:shd w:val="clear" w:color="auto" w:fill="auto"/>
            <w:tcMar>
              <w:top w:w="0" w:type="dxa"/>
              <w:left w:w="100" w:type="dxa"/>
              <w:bottom w:w="0" w:type="dxa"/>
              <w:right w:w="100" w:type="dxa"/>
            </w:tcMar>
          </w:tcPr>
          <w:p w14:paraId="2FF45C3A"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30-39</w:t>
            </w:r>
          </w:p>
        </w:tc>
        <w:tc>
          <w:tcPr>
            <w:tcW w:w="2220" w:type="dxa"/>
            <w:tcBorders>
              <w:top w:val="nil"/>
              <w:left w:val="nil"/>
              <w:bottom w:val="nil"/>
              <w:right w:val="nil"/>
            </w:tcBorders>
            <w:shd w:val="clear" w:color="auto" w:fill="auto"/>
            <w:tcMar>
              <w:top w:w="0" w:type="dxa"/>
              <w:left w:w="100" w:type="dxa"/>
              <w:bottom w:w="0" w:type="dxa"/>
              <w:right w:w="100" w:type="dxa"/>
            </w:tcMar>
          </w:tcPr>
          <w:p w14:paraId="4C82D724"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2</w:t>
            </w:r>
          </w:p>
        </w:tc>
      </w:tr>
      <w:tr w:rsidR="00FD6E76" w14:paraId="77D2ED77" w14:textId="77777777">
        <w:trPr>
          <w:trHeight w:val="255"/>
        </w:trPr>
        <w:tc>
          <w:tcPr>
            <w:tcW w:w="3600" w:type="dxa"/>
            <w:tcBorders>
              <w:top w:val="single" w:sz="5" w:space="0" w:color="7F7F7F"/>
              <w:left w:val="nil"/>
              <w:bottom w:val="single" w:sz="5" w:space="0" w:color="7F7F7F"/>
              <w:right w:val="nil"/>
            </w:tcBorders>
            <w:shd w:val="clear" w:color="auto" w:fill="auto"/>
            <w:tcMar>
              <w:top w:w="0" w:type="dxa"/>
              <w:left w:w="100" w:type="dxa"/>
              <w:bottom w:w="0" w:type="dxa"/>
              <w:right w:w="100" w:type="dxa"/>
            </w:tcMar>
          </w:tcPr>
          <w:p w14:paraId="392A0D2D"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40+</w:t>
            </w:r>
          </w:p>
        </w:tc>
        <w:tc>
          <w:tcPr>
            <w:tcW w:w="2220" w:type="dxa"/>
            <w:tcBorders>
              <w:top w:val="single" w:sz="5" w:space="0" w:color="7F7F7F"/>
              <w:left w:val="nil"/>
              <w:bottom w:val="single" w:sz="5" w:space="0" w:color="7F7F7F"/>
              <w:right w:val="nil"/>
            </w:tcBorders>
            <w:shd w:val="clear" w:color="auto" w:fill="auto"/>
            <w:tcMar>
              <w:top w:w="0" w:type="dxa"/>
              <w:left w:w="100" w:type="dxa"/>
              <w:bottom w:w="0" w:type="dxa"/>
              <w:right w:w="100" w:type="dxa"/>
            </w:tcMar>
          </w:tcPr>
          <w:p w14:paraId="1D48402E"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1</w:t>
            </w:r>
          </w:p>
        </w:tc>
      </w:tr>
      <w:tr w:rsidR="00FD6E76" w14:paraId="7E6FADF0" w14:textId="77777777">
        <w:trPr>
          <w:trHeight w:val="255"/>
        </w:trPr>
        <w:tc>
          <w:tcPr>
            <w:tcW w:w="3600" w:type="dxa"/>
            <w:tcBorders>
              <w:top w:val="nil"/>
              <w:left w:val="nil"/>
              <w:bottom w:val="nil"/>
              <w:right w:val="nil"/>
            </w:tcBorders>
            <w:shd w:val="clear" w:color="auto" w:fill="E7E6E6"/>
            <w:tcMar>
              <w:top w:w="0" w:type="dxa"/>
              <w:left w:w="100" w:type="dxa"/>
              <w:bottom w:w="0" w:type="dxa"/>
              <w:right w:w="100" w:type="dxa"/>
            </w:tcMar>
          </w:tcPr>
          <w:p w14:paraId="71ECD661" w14:textId="77777777" w:rsidR="00FD6E76" w:rsidRDefault="00A840BB">
            <w:pPr>
              <w:shd w:val="clear" w:color="auto" w:fill="FFFFFF"/>
              <w:jc w:val="both"/>
              <w:rPr>
                <w:rFonts w:ascii="Calibri" w:eastAsia="Calibri" w:hAnsi="Calibri" w:cs="Calibri"/>
                <w:b/>
                <w:sz w:val="20"/>
                <w:szCs w:val="20"/>
              </w:rPr>
            </w:pPr>
            <w:r>
              <w:rPr>
                <w:rFonts w:ascii="Calibri" w:eastAsia="Calibri" w:hAnsi="Calibri" w:cs="Calibri"/>
                <w:b/>
                <w:sz w:val="20"/>
                <w:szCs w:val="20"/>
              </w:rPr>
              <w:t>Clinical area</w:t>
            </w:r>
          </w:p>
        </w:tc>
        <w:tc>
          <w:tcPr>
            <w:tcW w:w="2220" w:type="dxa"/>
            <w:tcBorders>
              <w:top w:val="nil"/>
              <w:left w:val="nil"/>
              <w:bottom w:val="nil"/>
              <w:right w:val="nil"/>
            </w:tcBorders>
            <w:shd w:val="clear" w:color="auto" w:fill="E7E6E6"/>
            <w:tcMar>
              <w:top w:w="0" w:type="dxa"/>
              <w:left w:w="100" w:type="dxa"/>
              <w:bottom w:w="0" w:type="dxa"/>
              <w:right w:w="100" w:type="dxa"/>
            </w:tcMar>
          </w:tcPr>
          <w:p w14:paraId="25E933A9"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 xml:space="preserve"> </w:t>
            </w:r>
          </w:p>
        </w:tc>
      </w:tr>
      <w:tr w:rsidR="00FD6E76" w14:paraId="5B9A0F7B" w14:textId="77777777">
        <w:trPr>
          <w:trHeight w:val="255"/>
        </w:trPr>
        <w:tc>
          <w:tcPr>
            <w:tcW w:w="3600" w:type="dxa"/>
            <w:tcBorders>
              <w:top w:val="single" w:sz="5" w:space="0" w:color="7F7F7F"/>
              <w:left w:val="nil"/>
              <w:bottom w:val="single" w:sz="5" w:space="0" w:color="7F7F7F"/>
              <w:right w:val="nil"/>
            </w:tcBorders>
            <w:shd w:val="clear" w:color="auto" w:fill="auto"/>
            <w:tcMar>
              <w:top w:w="0" w:type="dxa"/>
              <w:left w:w="100" w:type="dxa"/>
              <w:bottom w:w="0" w:type="dxa"/>
              <w:right w:w="100" w:type="dxa"/>
            </w:tcMar>
          </w:tcPr>
          <w:p w14:paraId="1D70BE56"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Generalist</w:t>
            </w:r>
          </w:p>
        </w:tc>
        <w:tc>
          <w:tcPr>
            <w:tcW w:w="2220" w:type="dxa"/>
            <w:tcBorders>
              <w:top w:val="single" w:sz="5" w:space="0" w:color="7F7F7F"/>
              <w:left w:val="nil"/>
              <w:bottom w:val="single" w:sz="5" w:space="0" w:color="7F7F7F"/>
              <w:right w:val="nil"/>
            </w:tcBorders>
            <w:shd w:val="clear" w:color="auto" w:fill="auto"/>
            <w:tcMar>
              <w:top w:w="0" w:type="dxa"/>
              <w:left w:w="100" w:type="dxa"/>
              <w:bottom w:w="0" w:type="dxa"/>
              <w:right w:w="100" w:type="dxa"/>
            </w:tcMar>
          </w:tcPr>
          <w:p w14:paraId="09429D52"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2</w:t>
            </w:r>
          </w:p>
        </w:tc>
      </w:tr>
      <w:tr w:rsidR="00FD6E76" w14:paraId="64CB03DE" w14:textId="77777777">
        <w:trPr>
          <w:trHeight w:val="315"/>
        </w:trPr>
        <w:tc>
          <w:tcPr>
            <w:tcW w:w="3600" w:type="dxa"/>
            <w:tcBorders>
              <w:top w:val="nil"/>
              <w:left w:val="nil"/>
              <w:bottom w:val="nil"/>
              <w:right w:val="nil"/>
            </w:tcBorders>
            <w:shd w:val="clear" w:color="auto" w:fill="auto"/>
            <w:tcMar>
              <w:top w:w="0" w:type="dxa"/>
              <w:left w:w="100" w:type="dxa"/>
              <w:bottom w:w="0" w:type="dxa"/>
              <w:right w:w="100" w:type="dxa"/>
            </w:tcMar>
          </w:tcPr>
          <w:p w14:paraId="4050C078" w14:textId="77777777" w:rsidR="00FD6E76" w:rsidRDefault="00A840BB">
            <w:pPr>
              <w:shd w:val="clear" w:color="auto" w:fill="FFFFFF"/>
              <w:jc w:val="both"/>
              <w:rPr>
                <w:rFonts w:ascii="Calibri" w:eastAsia="Calibri" w:hAnsi="Calibri" w:cs="Calibri"/>
                <w:b/>
                <w:vertAlign w:val="superscript"/>
              </w:rPr>
            </w:pPr>
            <w:r>
              <w:rPr>
                <w:rFonts w:ascii="Calibri" w:eastAsia="Calibri" w:hAnsi="Calibri" w:cs="Calibri"/>
                <w:sz w:val="20"/>
                <w:szCs w:val="20"/>
              </w:rPr>
              <w:t>Advanced Practice (OA Recognition)</w:t>
            </w:r>
            <w:r>
              <w:rPr>
                <w:rFonts w:ascii="Calibri" w:eastAsia="Calibri" w:hAnsi="Calibri" w:cs="Calibri"/>
                <w:b/>
                <w:vertAlign w:val="superscript"/>
              </w:rPr>
              <w:t>1</w:t>
            </w:r>
          </w:p>
        </w:tc>
        <w:tc>
          <w:tcPr>
            <w:tcW w:w="2220" w:type="dxa"/>
            <w:tcBorders>
              <w:top w:val="nil"/>
              <w:left w:val="nil"/>
              <w:bottom w:val="nil"/>
              <w:right w:val="nil"/>
            </w:tcBorders>
            <w:shd w:val="clear" w:color="auto" w:fill="auto"/>
            <w:tcMar>
              <w:top w:w="0" w:type="dxa"/>
              <w:left w:w="100" w:type="dxa"/>
              <w:bottom w:w="0" w:type="dxa"/>
              <w:right w:w="100" w:type="dxa"/>
            </w:tcMar>
          </w:tcPr>
          <w:p w14:paraId="74F48CD0"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3</w:t>
            </w:r>
          </w:p>
        </w:tc>
      </w:tr>
      <w:tr w:rsidR="00FD6E76" w14:paraId="16EAB753" w14:textId="77777777">
        <w:trPr>
          <w:trHeight w:val="255"/>
        </w:trPr>
        <w:tc>
          <w:tcPr>
            <w:tcW w:w="5820" w:type="dxa"/>
            <w:gridSpan w:val="2"/>
            <w:tcBorders>
              <w:top w:val="single" w:sz="5" w:space="0" w:color="7F7F7F"/>
              <w:left w:val="nil"/>
              <w:bottom w:val="single" w:sz="5" w:space="0" w:color="7F7F7F"/>
              <w:right w:val="nil"/>
            </w:tcBorders>
            <w:shd w:val="clear" w:color="auto" w:fill="E7E6E6"/>
            <w:tcMar>
              <w:top w:w="0" w:type="dxa"/>
              <w:left w:w="100" w:type="dxa"/>
              <w:bottom w:w="0" w:type="dxa"/>
              <w:right w:w="100" w:type="dxa"/>
            </w:tcMar>
          </w:tcPr>
          <w:p w14:paraId="5B6042AC" w14:textId="77777777" w:rsidR="00FD6E76" w:rsidRDefault="00A840BB">
            <w:pPr>
              <w:shd w:val="clear" w:color="auto" w:fill="FFFFFF"/>
              <w:jc w:val="both"/>
              <w:rPr>
                <w:rFonts w:ascii="Calibri" w:eastAsia="Calibri" w:hAnsi="Calibri" w:cs="Calibri"/>
                <w:b/>
                <w:sz w:val="20"/>
                <w:szCs w:val="20"/>
              </w:rPr>
            </w:pPr>
            <w:r>
              <w:rPr>
                <w:rFonts w:ascii="Calibri" w:eastAsia="Calibri" w:hAnsi="Calibri" w:cs="Calibri"/>
                <w:b/>
                <w:sz w:val="20"/>
                <w:szCs w:val="20"/>
              </w:rPr>
              <w:t>Area of Advanced Practice</w:t>
            </w:r>
          </w:p>
        </w:tc>
      </w:tr>
      <w:tr w:rsidR="00FD6E76" w14:paraId="241955B2" w14:textId="77777777">
        <w:trPr>
          <w:trHeight w:val="255"/>
        </w:trPr>
        <w:tc>
          <w:tcPr>
            <w:tcW w:w="3600" w:type="dxa"/>
            <w:tcBorders>
              <w:top w:val="nil"/>
              <w:left w:val="nil"/>
              <w:bottom w:val="nil"/>
              <w:right w:val="nil"/>
            </w:tcBorders>
            <w:shd w:val="clear" w:color="auto" w:fill="auto"/>
            <w:tcMar>
              <w:top w:w="0" w:type="dxa"/>
              <w:left w:w="100" w:type="dxa"/>
              <w:bottom w:w="0" w:type="dxa"/>
              <w:right w:w="100" w:type="dxa"/>
            </w:tcMar>
          </w:tcPr>
          <w:p w14:paraId="4587A1C6"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Paediatrics</w:t>
            </w:r>
          </w:p>
        </w:tc>
        <w:tc>
          <w:tcPr>
            <w:tcW w:w="2220" w:type="dxa"/>
            <w:tcBorders>
              <w:top w:val="nil"/>
              <w:left w:val="nil"/>
              <w:bottom w:val="nil"/>
              <w:right w:val="nil"/>
            </w:tcBorders>
            <w:shd w:val="clear" w:color="auto" w:fill="auto"/>
            <w:tcMar>
              <w:top w:w="0" w:type="dxa"/>
              <w:left w:w="100" w:type="dxa"/>
              <w:bottom w:w="0" w:type="dxa"/>
              <w:right w:w="100" w:type="dxa"/>
            </w:tcMar>
          </w:tcPr>
          <w:p w14:paraId="7F5612BA"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1</w:t>
            </w:r>
          </w:p>
        </w:tc>
      </w:tr>
      <w:tr w:rsidR="00FD6E76" w14:paraId="55E3702A" w14:textId="77777777">
        <w:trPr>
          <w:trHeight w:val="255"/>
        </w:trPr>
        <w:tc>
          <w:tcPr>
            <w:tcW w:w="3600" w:type="dxa"/>
            <w:tcBorders>
              <w:top w:val="single" w:sz="5" w:space="0" w:color="7F7F7F"/>
              <w:left w:val="nil"/>
              <w:bottom w:val="single" w:sz="5" w:space="0" w:color="7F7F7F"/>
              <w:right w:val="nil"/>
            </w:tcBorders>
            <w:shd w:val="clear" w:color="auto" w:fill="auto"/>
            <w:tcMar>
              <w:top w:w="0" w:type="dxa"/>
              <w:left w:w="100" w:type="dxa"/>
              <w:bottom w:w="0" w:type="dxa"/>
              <w:right w:w="100" w:type="dxa"/>
            </w:tcMar>
          </w:tcPr>
          <w:p w14:paraId="7AF94555"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Sports Management</w:t>
            </w:r>
          </w:p>
        </w:tc>
        <w:tc>
          <w:tcPr>
            <w:tcW w:w="2220" w:type="dxa"/>
            <w:tcBorders>
              <w:top w:val="single" w:sz="5" w:space="0" w:color="7F7F7F"/>
              <w:left w:val="nil"/>
              <w:bottom w:val="single" w:sz="5" w:space="0" w:color="7F7F7F"/>
              <w:right w:val="nil"/>
            </w:tcBorders>
            <w:shd w:val="clear" w:color="auto" w:fill="auto"/>
            <w:tcMar>
              <w:top w:w="0" w:type="dxa"/>
              <w:left w:w="100" w:type="dxa"/>
              <w:bottom w:w="0" w:type="dxa"/>
              <w:right w:w="100" w:type="dxa"/>
            </w:tcMar>
          </w:tcPr>
          <w:p w14:paraId="47E5CC82"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2</w:t>
            </w:r>
          </w:p>
        </w:tc>
      </w:tr>
      <w:tr w:rsidR="00FD6E76" w14:paraId="0962F681" w14:textId="77777777">
        <w:trPr>
          <w:trHeight w:val="255"/>
        </w:trPr>
        <w:tc>
          <w:tcPr>
            <w:tcW w:w="3600" w:type="dxa"/>
            <w:tcBorders>
              <w:top w:val="nil"/>
              <w:left w:val="nil"/>
              <w:bottom w:val="nil"/>
              <w:right w:val="nil"/>
            </w:tcBorders>
            <w:shd w:val="clear" w:color="auto" w:fill="auto"/>
            <w:tcMar>
              <w:top w:w="0" w:type="dxa"/>
              <w:left w:w="100" w:type="dxa"/>
              <w:bottom w:w="0" w:type="dxa"/>
              <w:right w:w="100" w:type="dxa"/>
            </w:tcMar>
          </w:tcPr>
          <w:p w14:paraId="1152EC67"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Exercise-based Rehab</w:t>
            </w:r>
          </w:p>
        </w:tc>
        <w:tc>
          <w:tcPr>
            <w:tcW w:w="2220" w:type="dxa"/>
            <w:tcBorders>
              <w:top w:val="nil"/>
              <w:left w:val="nil"/>
              <w:bottom w:val="nil"/>
              <w:right w:val="nil"/>
            </w:tcBorders>
            <w:shd w:val="clear" w:color="auto" w:fill="auto"/>
            <w:tcMar>
              <w:top w:w="0" w:type="dxa"/>
              <w:left w:w="100" w:type="dxa"/>
              <w:bottom w:w="0" w:type="dxa"/>
              <w:right w:w="100" w:type="dxa"/>
            </w:tcMar>
          </w:tcPr>
          <w:p w14:paraId="3543E989"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1</w:t>
            </w:r>
          </w:p>
        </w:tc>
      </w:tr>
      <w:tr w:rsidR="00FD6E76" w14:paraId="5FC2E10D" w14:textId="77777777">
        <w:trPr>
          <w:trHeight w:val="255"/>
        </w:trPr>
        <w:tc>
          <w:tcPr>
            <w:tcW w:w="3600" w:type="dxa"/>
            <w:tcBorders>
              <w:top w:val="single" w:sz="5" w:space="0" w:color="7F7F7F"/>
              <w:left w:val="nil"/>
              <w:bottom w:val="single" w:sz="5" w:space="0" w:color="7F7F7F"/>
              <w:right w:val="nil"/>
            </w:tcBorders>
            <w:shd w:val="clear" w:color="auto" w:fill="auto"/>
            <w:tcMar>
              <w:top w:w="0" w:type="dxa"/>
              <w:left w:w="100" w:type="dxa"/>
              <w:bottom w:w="0" w:type="dxa"/>
              <w:right w:w="100" w:type="dxa"/>
            </w:tcMar>
          </w:tcPr>
          <w:p w14:paraId="34975C26"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Pain Management</w:t>
            </w:r>
          </w:p>
        </w:tc>
        <w:tc>
          <w:tcPr>
            <w:tcW w:w="2220" w:type="dxa"/>
            <w:tcBorders>
              <w:top w:val="single" w:sz="5" w:space="0" w:color="7F7F7F"/>
              <w:left w:val="nil"/>
              <w:bottom w:val="single" w:sz="5" w:space="0" w:color="7F7F7F"/>
              <w:right w:val="nil"/>
            </w:tcBorders>
            <w:shd w:val="clear" w:color="auto" w:fill="auto"/>
            <w:tcMar>
              <w:top w:w="0" w:type="dxa"/>
              <w:left w:w="100" w:type="dxa"/>
              <w:bottom w:w="0" w:type="dxa"/>
              <w:right w:w="100" w:type="dxa"/>
            </w:tcMar>
          </w:tcPr>
          <w:p w14:paraId="2DB6FADE"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2</w:t>
            </w:r>
          </w:p>
        </w:tc>
      </w:tr>
      <w:tr w:rsidR="00FD6E76" w14:paraId="1309728B" w14:textId="77777777">
        <w:trPr>
          <w:trHeight w:val="255"/>
        </w:trPr>
        <w:tc>
          <w:tcPr>
            <w:tcW w:w="5820" w:type="dxa"/>
            <w:gridSpan w:val="2"/>
            <w:tcBorders>
              <w:top w:val="nil"/>
              <w:left w:val="nil"/>
              <w:bottom w:val="nil"/>
              <w:right w:val="nil"/>
            </w:tcBorders>
            <w:shd w:val="clear" w:color="auto" w:fill="E7E6E6"/>
            <w:tcMar>
              <w:top w:w="0" w:type="dxa"/>
              <w:left w:w="100" w:type="dxa"/>
              <w:bottom w:w="0" w:type="dxa"/>
              <w:right w:w="100" w:type="dxa"/>
            </w:tcMar>
          </w:tcPr>
          <w:p w14:paraId="524097B9" w14:textId="77777777" w:rsidR="00FD6E76" w:rsidRDefault="00A840BB">
            <w:pPr>
              <w:shd w:val="clear" w:color="auto" w:fill="FFFFFF"/>
              <w:jc w:val="both"/>
              <w:rPr>
                <w:rFonts w:ascii="Calibri" w:eastAsia="Calibri" w:hAnsi="Calibri" w:cs="Calibri"/>
                <w:b/>
                <w:sz w:val="20"/>
                <w:szCs w:val="20"/>
              </w:rPr>
            </w:pPr>
            <w:r>
              <w:rPr>
                <w:rFonts w:ascii="Calibri" w:eastAsia="Calibri" w:hAnsi="Calibri" w:cs="Calibri"/>
                <w:b/>
                <w:sz w:val="20"/>
                <w:szCs w:val="20"/>
              </w:rPr>
              <w:t>Main clinical area of interest</w:t>
            </w:r>
          </w:p>
        </w:tc>
      </w:tr>
      <w:tr w:rsidR="00FD6E76" w14:paraId="1D1C8E14" w14:textId="77777777">
        <w:trPr>
          <w:trHeight w:val="255"/>
        </w:trPr>
        <w:tc>
          <w:tcPr>
            <w:tcW w:w="3600" w:type="dxa"/>
            <w:tcBorders>
              <w:top w:val="single" w:sz="5" w:space="0" w:color="7F7F7F"/>
              <w:left w:val="nil"/>
              <w:bottom w:val="single" w:sz="5" w:space="0" w:color="7F7F7F"/>
              <w:right w:val="nil"/>
            </w:tcBorders>
            <w:shd w:val="clear" w:color="auto" w:fill="auto"/>
            <w:tcMar>
              <w:top w:w="0" w:type="dxa"/>
              <w:left w:w="100" w:type="dxa"/>
              <w:bottom w:w="0" w:type="dxa"/>
              <w:right w:w="100" w:type="dxa"/>
            </w:tcMar>
          </w:tcPr>
          <w:p w14:paraId="6C7C0C45"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Generalist</w:t>
            </w:r>
          </w:p>
        </w:tc>
        <w:tc>
          <w:tcPr>
            <w:tcW w:w="2220" w:type="dxa"/>
            <w:tcBorders>
              <w:top w:val="single" w:sz="5" w:space="0" w:color="7F7F7F"/>
              <w:left w:val="nil"/>
              <w:bottom w:val="single" w:sz="5" w:space="0" w:color="7F7F7F"/>
              <w:right w:val="nil"/>
            </w:tcBorders>
            <w:shd w:val="clear" w:color="auto" w:fill="auto"/>
            <w:tcMar>
              <w:top w:w="0" w:type="dxa"/>
              <w:left w:w="100" w:type="dxa"/>
              <w:bottom w:w="0" w:type="dxa"/>
              <w:right w:w="100" w:type="dxa"/>
            </w:tcMar>
          </w:tcPr>
          <w:p w14:paraId="6DEFA1BC"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4</w:t>
            </w:r>
          </w:p>
        </w:tc>
      </w:tr>
      <w:tr w:rsidR="00FD6E76" w14:paraId="37D44AC7" w14:textId="77777777">
        <w:trPr>
          <w:trHeight w:val="255"/>
        </w:trPr>
        <w:tc>
          <w:tcPr>
            <w:tcW w:w="3600" w:type="dxa"/>
            <w:tcBorders>
              <w:top w:val="nil"/>
              <w:left w:val="nil"/>
              <w:bottom w:val="nil"/>
              <w:right w:val="nil"/>
            </w:tcBorders>
            <w:shd w:val="clear" w:color="auto" w:fill="auto"/>
            <w:tcMar>
              <w:top w:w="0" w:type="dxa"/>
              <w:left w:w="100" w:type="dxa"/>
              <w:bottom w:w="0" w:type="dxa"/>
              <w:right w:w="100" w:type="dxa"/>
            </w:tcMar>
          </w:tcPr>
          <w:p w14:paraId="6B835494"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Paediatrics</w:t>
            </w:r>
          </w:p>
        </w:tc>
        <w:tc>
          <w:tcPr>
            <w:tcW w:w="2220" w:type="dxa"/>
            <w:tcBorders>
              <w:top w:val="nil"/>
              <w:left w:val="nil"/>
              <w:bottom w:val="nil"/>
              <w:right w:val="nil"/>
            </w:tcBorders>
            <w:shd w:val="clear" w:color="auto" w:fill="auto"/>
            <w:tcMar>
              <w:top w:w="0" w:type="dxa"/>
              <w:left w:w="100" w:type="dxa"/>
              <w:bottom w:w="0" w:type="dxa"/>
              <w:right w:w="100" w:type="dxa"/>
            </w:tcMar>
          </w:tcPr>
          <w:p w14:paraId="28509E43"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1</w:t>
            </w:r>
          </w:p>
        </w:tc>
      </w:tr>
      <w:tr w:rsidR="00FD6E76" w14:paraId="2D93201F" w14:textId="77777777">
        <w:trPr>
          <w:trHeight w:val="255"/>
        </w:trPr>
        <w:tc>
          <w:tcPr>
            <w:tcW w:w="3600" w:type="dxa"/>
            <w:tcBorders>
              <w:top w:val="single" w:sz="5" w:space="0" w:color="7F7F7F"/>
              <w:left w:val="nil"/>
              <w:bottom w:val="single" w:sz="5" w:space="0" w:color="7F7F7F"/>
              <w:right w:val="nil"/>
            </w:tcBorders>
            <w:shd w:val="clear" w:color="auto" w:fill="auto"/>
            <w:tcMar>
              <w:top w:w="0" w:type="dxa"/>
              <w:left w:w="100" w:type="dxa"/>
              <w:bottom w:w="0" w:type="dxa"/>
              <w:right w:w="100" w:type="dxa"/>
            </w:tcMar>
          </w:tcPr>
          <w:p w14:paraId="66459759"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Sports Management</w:t>
            </w:r>
          </w:p>
        </w:tc>
        <w:tc>
          <w:tcPr>
            <w:tcW w:w="2220" w:type="dxa"/>
            <w:tcBorders>
              <w:top w:val="single" w:sz="5" w:space="0" w:color="7F7F7F"/>
              <w:left w:val="nil"/>
              <w:bottom w:val="single" w:sz="5" w:space="0" w:color="7F7F7F"/>
              <w:right w:val="nil"/>
            </w:tcBorders>
            <w:shd w:val="clear" w:color="auto" w:fill="auto"/>
            <w:tcMar>
              <w:top w:w="0" w:type="dxa"/>
              <w:left w:w="100" w:type="dxa"/>
              <w:bottom w:w="0" w:type="dxa"/>
              <w:right w:w="100" w:type="dxa"/>
            </w:tcMar>
          </w:tcPr>
          <w:p w14:paraId="16CC101F"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4</w:t>
            </w:r>
          </w:p>
        </w:tc>
      </w:tr>
      <w:tr w:rsidR="00FD6E76" w14:paraId="265FA7FA" w14:textId="77777777">
        <w:trPr>
          <w:trHeight w:val="255"/>
        </w:trPr>
        <w:tc>
          <w:tcPr>
            <w:tcW w:w="3600" w:type="dxa"/>
            <w:tcBorders>
              <w:top w:val="nil"/>
              <w:left w:val="nil"/>
              <w:bottom w:val="nil"/>
              <w:right w:val="nil"/>
            </w:tcBorders>
            <w:shd w:val="clear" w:color="auto" w:fill="auto"/>
            <w:tcMar>
              <w:top w:w="0" w:type="dxa"/>
              <w:left w:w="100" w:type="dxa"/>
              <w:bottom w:w="0" w:type="dxa"/>
              <w:right w:w="100" w:type="dxa"/>
            </w:tcMar>
          </w:tcPr>
          <w:p w14:paraId="00441B35"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Exercise-based Rehab</w:t>
            </w:r>
          </w:p>
        </w:tc>
        <w:tc>
          <w:tcPr>
            <w:tcW w:w="2220" w:type="dxa"/>
            <w:tcBorders>
              <w:top w:val="nil"/>
              <w:left w:val="nil"/>
              <w:bottom w:val="nil"/>
              <w:right w:val="nil"/>
            </w:tcBorders>
            <w:shd w:val="clear" w:color="auto" w:fill="auto"/>
            <w:tcMar>
              <w:top w:w="0" w:type="dxa"/>
              <w:left w:w="100" w:type="dxa"/>
              <w:bottom w:w="0" w:type="dxa"/>
              <w:right w:w="100" w:type="dxa"/>
            </w:tcMar>
          </w:tcPr>
          <w:p w14:paraId="4FD480D7"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2</w:t>
            </w:r>
          </w:p>
        </w:tc>
      </w:tr>
      <w:tr w:rsidR="00FD6E76" w14:paraId="60F9ABF2" w14:textId="77777777">
        <w:trPr>
          <w:trHeight w:val="255"/>
        </w:trPr>
        <w:tc>
          <w:tcPr>
            <w:tcW w:w="3600" w:type="dxa"/>
            <w:tcBorders>
              <w:top w:val="single" w:sz="5" w:space="0" w:color="7F7F7F"/>
              <w:left w:val="nil"/>
              <w:bottom w:val="single" w:sz="5" w:space="0" w:color="7F7F7F"/>
              <w:right w:val="nil"/>
            </w:tcBorders>
            <w:shd w:val="clear" w:color="auto" w:fill="auto"/>
            <w:tcMar>
              <w:top w:w="0" w:type="dxa"/>
              <w:left w:w="100" w:type="dxa"/>
              <w:bottom w:w="0" w:type="dxa"/>
              <w:right w:w="100" w:type="dxa"/>
            </w:tcMar>
          </w:tcPr>
          <w:p w14:paraId="3EBBEAF3"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Pain Management</w:t>
            </w:r>
          </w:p>
        </w:tc>
        <w:tc>
          <w:tcPr>
            <w:tcW w:w="2220" w:type="dxa"/>
            <w:tcBorders>
              <w:top w:val="single" w:sz="5" w:space="0" w:color="7F7F7F"/>
              <w:left w:val="nil"/>
              <w:bottom w:val="single" w:sz="5" w:space="0" w:color="7F7F7F"/>
              <w:right w:val="nil"/>
            </w:tcBorders>
            <w:shd w:val="clear" w:color="auto" w:fill="auto"/>
            <w:tcMar>
              <w:top w:w="0" w:type="dxa"/>
              <w:left w:w="100" w:type="dxa"/>
              <w:bottom w:w="0" w:type="dxa"/>
              <w:right w:w="100" w:type="dxa"/>
            </w:tcMar>
          </w:tcPr>
          <w:p w14:paraId="4A3150E8"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3</w:t>
            </w:r>
          </w:p>
        </w:tc>
      </w:tr>
      <w:tr w:rsidR="00FD6E76" w14:paraId="55922762" w14:textId="77777777">
        <w:trPr>
          <w:trHeight w:val="255"/>
        </w:trPr>
        <w:tc>
          <w:tcPr>
            <w:tcW w:w="5820" w:type="dxa"/>
            <w:gridSpan w:val="2"/>
            <w:tcBorders>
              <w:top w:val="nil"/>
              <w:left w:val="nil"/>
              <w:bottom w:val="nil"/>
              <w:right w:val="nil"/>
            </w:tcBorders>
            <w:shd w:val="clear" w:color="auto" w:fill="E7E6E6"/>
            <w:tcMar>
              <w:top w:w="0" w:type="dxa"/>
              <w:left w:w="100" w:type="dxa"/>
              <w:bottom w:w="0" w:type="dxa"/>
              <w:right w:w="100" w:type="dxa"/>
            </w:tcMar>
          </w:tcPr>
          <w:p w14:paraId="654650AF" w14:textId="77777777" w:rsidR="00FD6E76" w:rsidRDefault="00A840BB">
            <w:pPr>
              <w:shd w:val="clear" w:color="auto" w:fill="FFFFFF"/>
              <w:jc w:val="both"/>
              <w:rPr>
                <w:rFonts w:ascii="Calibri" w:eastAsia="Calibri" w:hAnsi="Calibri" w:cs="Calibri"/>
                <w:b/>
                <w:sz w:val="20"/>
                <w:szCs w:val="20"/>
              </w:rPr>
            </w:pPr>
            <w:r>
              <w:rPr>
                <w:rFonts w:ascii="Calibri" w:eastAsia="Calibri" w:hAnsi="Calibri" w:cs="Calibri"/>
                <w:b/>
                <w:sz w:val="20"/>
                <w:szCs w:val="20"/>
              </w:rPr>
              <w:t>Osteopathic education</w:t>
            </w:r>
          </w:p>
        </w:tc>
      </w:tr>
      <w:tr w:rsidR="00FD6E76" w14:paraId="04DD576C" w14:textId="77777777">
        <w:trPr>
          <w:trHeight w:val="255"/>
        </w:trPr>
        <w:tc>
          <w:tcPr>
            <w:tcW w:w="3600" w:type="dxa"/>
            <w:tcBorders>
              <w:top w:val="single" w:sz="5" w:space="0" w:color="7F7F7F"/>
              <w:left w:val="nil"/>
              <w:bottom w:val="single" w:sz="5" w:space="0" w:color="7F7F7F"/>
              <w:right w:val="nil"/>
            </w:tcBorders>
            <w:shd w:val="clear" w:color="auto" w:fill="auto"/>
            <w:tcMar>
              <w:top w:w="0" w:type="dxa"/>
              <w:left w:w="100" w:type="dxa"/>
              <w:bottom w:w="0" w:type="dxa"/>
              <w:right w:w="100" w:type="dxa"/>
            </w:tcMar>
          </w:tcPr>
          <w:p w14:paraId="62FDC453"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University</w:t>
            </w:r>
          </w:p>
        </w:tc>
        <w:tc>
          <w:tcPr>
            <w:tcW w:w="2220" w:type="dxa"/>
            <w:tcBorders>
              <w:top w:val="single" w:sz="5" w:space="0" w:color="7F7F7F"/>
              <w:left w:val="nil"/>
              <w:bottom w:val="single" w:sz="5" w:space="0" w:color="7F7F7F"/>
              <w:right w:val="nil"/>
            </w:tcBorders>
            <w:shd w:val="clear" w:color="auto" w:fill="auto"/>
            <w:tcMar>
              <w:top w:w="0" w:type="dxa"/>
              <w:left w:w="100" w:type="dxa"/>
              <w:bottom w:w="0" w:type="dxa"/>
              <w:right w:w="100" w:type="dxa"/>
            </w:tcMar>
          </w:tcPr>
          <w:p w14:paraId="3C61894E"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6</w:t>
            </w:r>
          </w:p>
        </w:tc>
      </w:tr>
      <w:tr w:rsidR="00FD6E76" w14:paraId="1D3C65C9" w14:textId="77777777">
        <w:trPr>
          <w:trHeight w:val="255"/>
        </w:trPr>
        <w:tc>
          <w:tcPr>
            <w:tcW w:w="3600" w:type="dxa"/>
            <w:tcBorders>
              <w:top w:val="nil"/>
              <w:left w:val="nil"/>
              <w:bottom w:val="nil"/>
              <w:right w:val="nil"/>
            </w:tcBorders>
            <w:shd w:val="clear" w:color="auto" w:fill="auto"/>
            <w:tcMar>
              <w:top w:w="0" w:type="dxa"/>
              <w:left w:w="100" w:type="dxa"/>
              <w:bottom w:w="0" w:type="dxa"/>
              <w:right w:w="100" w:type="dxa"/>
            </w:tcMar>
          </w:tcPr>
          <w:p w14:paraId="3A6F74CB"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Private Educational Institution</w:t>
            </w:r>
          </w:p>
        </w:tc>
        <w:tc>
          <w:tcPr>
            <w:tcW w:w="2220" w:type="dxa"/>
            <w:tcBorders>
              <w:top w:val="nil"/>
              <w:left w:val="nil"/>
              <w:bottom w:val="nil"/>
              <w:right w:val="nil"/>
            </w:tcBorders>
            <w:shd w:val="clear" w:color="auto" w:fill="auto"/>
            <w:tcMar>
              <w:top w:w="0" w:type="dxa"/>
              <w:left w:w="100" w:type="dxa"/>
              <w:bottom w:w="0" w:type="dxa"/>
              <w:right w:w="100" w:type="dxa"/>
            </w:tcMar>
          </w:tcPr>
          <w:p w14:paraId="60E0702D"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 xml:space="preserve"> </w:t>
            </w:r>
          </w:p>
        </w:tc>
      </w:tr>
      <w:tr w:rsidR="00FD6E76" w14:paraId="570FE4A1" w14:textId="77777777">
        <w:trPr>
          <w:trHeight w:val="255"/>
        </w:trPr>
        <w:tc>
          <w:tcPr>
            <w:tcW w:w="3600" w:type="dxa"/>
            <w:tcBorders>
              <w:top w:val="single" w:sz="5" w:space="0" w:color="7F7F7F"/>
              <w:left w:val="nil"/>
              <w:bottom w:val="single" w:sz="5" w:space="0" w:color="7F7F7F"/>
              <w:right w:val="nil"/>
            </w:tcBorders>
            <w:shd w:val="clear" w:color="auto" w:fill="E7E6E6"/>
            <w:tcMar>
              <w:top w:w="0" w:type="dxa"/>
              <w:left w:w="100" w:type="dxa"/>
              <w:bottom w:w="0" w:type="dxa"/>
              <w:right w:w="100" w:type="dxa"/>
            </w:tcMar>
          </w:tcPr>
          <w:p w14:paraId="31199807" w14:textId="77777777" w:rsidR="00FD6E76" w:rsidRDefault="00A840BB">
            <w:pPr>
              <w:shd w:val="clear" w:color="auto" w:fill="FFFFFF"/>
              <w:jc w:val="both"/>
              <w:rPr>
                <w:rFonts w:ascii="Calibri" w:eastAsia="Calibri" w:hAnsi="Calibri" w:cs="Calibri"/>
                <w:b/>
                <w:sz w:val="20"/>
                <w:szCs w:val="20"/>
              </w:rPr>
            </w:pPr>
            <w:r>
              <w:rPr>
                <w:rFonts w:ascii="Calibri" w:eastAsia="Calibri" w:hAnsi="Calibri" w:cs="Calibri"/>
                <w:b/>
                <w:sz w:val="20"/>
                <w:szCs w:val="20"/>
              </w:rPr>
              <w:t>Years since graduation</w:t>
            </w:r>
          </w:p>
        </w:tc>
        <w:tc>
          <w:tcPr>
            <w:tcW w:w="2220" w:type="dxa"/>
            <w:tcBorders>
              <w:top w:val="single" w:sz="5" w:space="0" w:color="7F7F7F"/>
              <w:left w:val="nil"/>
              <w:bottom w:val="single" w:sz="5" w:space="0" w:color="7F7F7F"/>
              <w:right w:val="nil"/>
            </w:tcBorders>
            <w:shd w:val="clear" w:color="auto" w:fill="E7E6E6"/>
            <w:tcMar>
              <w:top w:w="0" w:type="dxa"/>
              <w:left w:w="100" w:type="dxa"/>
              <w:bottom w:w="0" w:type="dxa"/>
              <w:right w:w="100" w:type="dxa"/>
            </w:tcMar>
          </w:tcPr>
          <w:p w14:paraId="3DEA0D60"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 xml:space="preserve"> </w:t>
            </w:r>
          </w:p>
        </w:tc>
      </w:tr>
      <w:tr w:rsidR="00FD6E76" w14:paraId="2B5191F2" w14:textId="77777777">
        <w:trPr>
          <w:trHeight w:val="255"/>
        </w:trPr>
        <w:tc>
          <w:tcPr>
            <w:tcW w:w="3600" w:type="dxa"/>
            <w:tcBorders>
              <w:top w:val="nil"/>
              <w:left w:val="nil"/>
              <w:bottom w:val="nil"/>
              <w:right w:val="nil"/>
            </w:tcBorders>
            <w:shd w:val="clear" w:color="auto" w:fill="auto"/>
            <w:tcMar>
              <w:top w:w="0" w:type="dxa"/>
              <w:left w:w="100" w:type="dxa"/>
              <w:bottom w:w="0" w:type="dxa"/>
              <w:right w:w="100" w:type="dxa"/>
            </w:tcMar>
          </w:tcPr>
          <w:p w14:paraId="17C2DCA4"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1-4</w:t>
            </w:r>
          </w:p>
        </w:tc>
        <w:tc>
          <w:tcPr>
            <w:tcW w:w="2220" w:type="dxa"/>
            <w:tcBorders>
              <w:top w:val="nil"/>
              <w:left w:val="nil"/>
              <w:bottom w:val="nil"/>
              <w:right w:val="nil"/>
            </w:tcBorders>
            <w:shd w:val="clear" w:color="auto" w:fill="auto"/>
            <w:tcMar>
              <w:top w:w="0" w:type="dxa"/>
              <w:left w:w="100" w:type="dxa"/>
              <w:bottom w:w="0" w:type="dxa"/>
              <w:right w:w="100" w:type="dxa"/>
            </w:tcMar>
          </w:tcPr>
          <w:p w14:paraId="2997457D"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 xml:space="preserve"> </w:t>
            </w:r>
          </w:p>
        </w:tc>
      </w:tr>
      <w:tr w:rsidR="00FD6E76" w14:paraId="019E940E" w14:textId="77777777">
        <w:trPr>
          <w:trHeight w:val="255"/>
        </w:trPr>
        <w:tc>
          <w:tcPr>
            <w:tcW w:w="3600" w:type="dxa"/>
            <w:tcBorders>
              <w:top w:val="single" w:sz="5" w:space="0" w:color="7F7F7F"/>
              <w:left w:val="nil"/>
              <w:bottom w:val="single" w:sz="5" w:space="0" w:color="7F7F7F"/>
              <w:right w:val="nil"/>
            </w:tcBorders>
            <w:shd w:val="clear" w:color="auto" w:fill="auto"/>
            <w:tcMar>
              <w:top w:w="0" w:type="dxa"/>
              <w:left w:w="100" w:type="dxa"/>
              <w:bottom w:w="0" w:type="dxa"/>
              <w:right w:w="100" w:type="dxa"/>
            </w:tcMar>
          </w:tcPr>
          <w:p w14:paraId="7358B9F7"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5-10</w:t>
            </w:r>
          </w:p>
        </w:tc>
        <w:tc>
          <w:tcPr>
            <w:tcW w:w="2220" w:type="dxa"/>
            <w:tcBorders>
              <w:top w:val="single" w:sz="5" w:space="0" w:color="7F7F7F"/>
              <w:left w:val="nil"/>
              <w:bottom w:val="single" w:sz="5" w:space="0" w:color="7F7F7F"/>
              <w:right w:val="nil"/>
            </w:tcBorders>
            <w:shd w:val="clear" w:color="auto" w:fill="auto"/>
            <w:tcMar>
              <w:top w:w="0" w:type="dxa"/>
              <w:left w:w="100" w:type="dxa"/>
              <w:bottom w:w="0" w:type="dxa"/>
              <w:right w:w="100" w:type="dxa"/>
            </w:tcMar>
          </w:tcPr>
          <w:p w14:paraId="2DE33CC1"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3</w:t>
            </w:r>
          </w:p>
        </w:tc>
      </w:tr>
      <w:tr w:rsidR="00FD6E76" w14:paraId="58C18682" w14:textId="77777777">
        <w:trPr>
          <w:trHeight w:val="255"/>
        </w:trPr>
        <w:tc>
          <w:tcPr>
            <w:tcW w:w="3600" w:type="dxa"/>
            <w:tcBorders>
              <w:top w:val="nil"/>
              <w:left w:val="nil"/>
              <w:bottom w:val="nil"/>
              <w:right w:val="nil"/>
            </w:tcBorders>
            <w:shd w:val="clear" w:color="auto" w:fill="auto"/>
            <w:tcMar>
              <w:top w:w="0" w:type="dxa"/>
              <w:left w:w="100" w:type="dxa"/>
              <w:bottom w:w="0" w:type="dxa"/>
              <w:right w:w="100" w:type="dxa"/>
            </w:tcMar>
          </w:tcPr>
          <w:p w14:paraId="3BA28BB1"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lastRenderedPageBreak/>
              <w:t>11-15</w:t>
            </w:r>
          </w:p>
        </w:tc>
        <w:tc>
          <w:tcPr>
            <w:tcW w:w="2220" w:type="dxa"/>
            <w:tcBorders>
              <w:top w:val="nil"/>
              <w:left w:val="nil"/>
              <w:bottom w:val="nil"/>
              <w:right w:val="nil"/>
            </w:tcBorders>
            <w:shd w:val="clear" w:color="auto" w:fill="auto"/>
            <w:tcMar>
              <w:top w:w="0" w:type="dxa"/>
              <w:left w:w="100" w:type="dxa"/>
              <w:bottom w:w="0" w:type="dxa"/>
              <w:right w:w="100" w:type="dxa"/>
            </w:tcMar>
          </w:tcPr>
          <w:p w14:paraId="65D5DE64"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 xml:space="preserve">2 </w:t>
            </w:r>
          </w:p>
        </w:tc>
      </w:tr>
      <w:tr w:rsidR="00FD6E76" w14:paraId="5D8A7C6C" w14:textId="77777777">
        <w:trPr>
          <w:trHeight w:val="255"/>
        </w:trPr>
        <w:tc>
          <w:tcPr>
            <w:tcW w:w="3600" w:type="dxa"/>
            <w:tcBorders>
              <w:top w:val="single" w:sz="5" w:space="0" w:color="7F7F7F"/>
              <w:left w:val="nil"/>
              <w:bottom w:val="single" w:sz="5" w:space="0" w:color="7F7F7F"/>
              <w:right w:val="nil"/>
            </w:tcBorders>
            <w:shd w:val="clear" w:color="auto" w:fill="auto"/>
            <w:tcMar>
              <w:top w:w="0" w:type="dxa"/>
              <w:left w:w="100" w:type="dxa"/>
              <w:bottom w:w="0" w:type="dxa"/>
              <w:right w:w="100" w:type="dxa"/>
            </w:tcMar>
          </w:tcPr>
          <w:p w14:paraId="1351FD73"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16-19</w:t>
            </w:r>
          </w:p>
        </w:tc>
        <w:tc>
          <w:tcPr>
            <w:tcW w:w="2220" w:type="dxa"/>
            <w:tcBorders>
              <w:top w:val="single" w:sz="5" w:space="0" w:color="7F7F7F"/>
              <w:left w:val="nil"/>
              <w:bottom w:val="single" w:sz="5" w:space="0" w:color="7F7F7F"/>
              <w:right w:val="nil"/>
            </w:tcBorders>
            <w:shd w:val="clear" w:color="auto" w:fill="auto"/>
            <w:tcMar>
              <w:top w:w="0" w:type="dxa"/>
              <w:left w:w="100" w:type="dxa"/>
              <w:bottom w:w="0" w:type="dxa"/>
              <w:right w:w="100" w:type="dxa"/>
            </w:tcMar>
          </w:tcPr>
          <w:p w14:paraId="4B74DE8C"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 xml:space="preserve"> </w:t>
            </w:r>
          </w:p>
        </w:tc>
      </w:tr>
      <w:tr w:rsidR="00FD6E76" w14:paraId="2B21ADC3" w14:textId="77777777">
        <w:trPr>
          <w:trHeight w:val="255"/>
        </w:trPr>
        <w:tc>
          <w:tcPr>
            <w:tcW w:w="3600" w:type="dxa"/>
            <w:tcBorders>
              <w:top w:val="nil"/>
              <w:left w:val="nil"/>
              <w:bottom w:val="nil"/>
              <w:right w:val="nil"/>
            </w:tcBorders>
            <w:shd w:val="clear" w:color="auto" w:fill="auto"/>
            <w:tcMar>
              <w:top w:w="0" w:type="dxa"/>
              <w:left w:w="100" w:type="dxa"/>
              <w:bottom w:w="0" w:type="dxa"/>
              <w:right w:w="100" w:type="dxa"/>
            </w:tcMar>
          </w:tcPr>
          <w:p w14:paraId="24D413BA"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20-25</w:t>
            </w:r>
          </w:p>
        </w:tc>
        <w:tc>
          <w:tcPr>
            <w:tcW w:w="2220" w:type="dxa"/>
            <w:tcBorders>
              <w:top w:val="nil"/>
              <w:left w:val="nil"/>
              <w:bottom w:val="nil"/>
              <w:right w:val="nil"/>
            </w:tcBorders>
            <w:shd w:val="clear" w:color="auto" w:fill="auto"/>
            <w:tcMar>
              <w:top w:w="0" w:type="dxa"/>
              <w:left w:w="100" w:type="dxa"/>
              <w:bottom w:w="0" w:type="dxa"/>
              <w:right w:w="100" w:type="dxa"/>
            </w:tcMar>
          </w:tcPr>
          <w:p w14:paraId="77058DE6"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1</w:t>
            </w:r>
          </w:p>
        </w:tc>
      </w:tr>
      <w:tr w:rsidR="00FD6E76" w14:paraId="322D212C" w14:textId="77777777">
        <w:trPr>
          <w:trHeight w:val="255"/>
        </w:trPr>
        <w:tc>
          <w:tcPr>
            <w:tcW w:w="3600" w:type="dxa"/>
            <w:tcBorders>
              <w:top w:val="single" w:sz="5" w:space="0" w:color="7F7F7F"/>
              <w:left w:val="nil"/>
              <w:bottom w:val="single" w:sz="5" w:space="0" w:color="7F7F7F"/>
              <w:right w:val="nil"/>
            </w:tcBorders>
            <w:shd w:val="clear" w:color="auto" w:fill="E7E6E6"/>
            <w:tcMar>
              <w:top w:w="0" w:type="dxa"/>
              <w:left w:w="100" w:type="dxa"/>
              <w:bottom w:w="0" w:type="dxa"/>
              <w:right w:w="100" w:type="dxa"/>
            </w:tcMar>
          </w:tcPr>
          <w:p w14:paraId="4613D965" w14:textId="77777777" w:rsidR="00FD6E76" w:rsidRDefault="00A840BB">
            <w:pPr>
              <w:shd w:val="clear" w:color="auto" w:fill="FFFFFF"/>
              <w:jc w:val="both"/>
              <w:rPr>
                <w:rFonts w:ascii="Calibri" w:eastAsia="Calibri" w:hAnsi="Calibri" w:cs="Calibri"/>
                <w:b/>
                <w:sz w:val="20"/>
                <w:szCs w:val="20"/>
              </w:rPr>
            </w:pPr>
            <w:r>
              <w:rPr>
                <w:rFonts w:ascii="Calibri" w:eastAsia="Calibri" w:hAnsi="Calibri" w:cs="Calibri"/>
                <w:b/>
                <w:sz w:val="20"/>
                <w:szCs w:val="20"/>
              </w:rPr>
              <w:t>Highest education level achieved</w:t>
            </w:r>
          </w:p>
        </w:tc>
        <w:tc>
          <w:tcPr>
            <w:tcW w:w="2220" w:type="dxa"/>
            <w:tcBorders>
              <w:top w:val="single" w:sz="5" w:space="0" w:color="7F7F7F"/>
              <w:left w:val="nil"/>
              <w:bottom w:val="single" w:sz="5" w:space="0" w:color="7F7F7F"/>
              <w:right w:val="nil"/>
            </w:tcBorders>
            <w:shd w:val="clear" w:color="auto" w:fill="E7E6E6"/>
            <w:tcMar>
              <w:top w:w="0" w:type="dxa"/>
              <w:left w:w="100" w:type="dxa"/>
              <w:bottom w:w="0" w:type="dxa"/>
              <w:right w:w="100" w:type="dxa"/>
            </w:tcMar>
          </w:tcPr>
          <w:p w14:paraId="0287E371"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 xml:space="preserve"> </w:t>
            </w:r>
          </w:p>
        </w:tc>
      </w:tr>
      <w:tr w:rsidR="00FD6E76" w14:paraId="3F1FA037" w14:textId="77777777">
        <w:trPr>
          <w:trHeight w:val="255"/>
        </w:trPr>
        <w:tc>
          <w:tcPr>
            <w:tcW w:w="3600" w:type="dxa"/>
            <w:tcBorders>
              <w:top w:val="nil"/>
              <w:left w:val="nil"/>
              <w:bottom w:val="nil"/>
              <w:right w:val="nil"/>
            </w:tcBorders>
            <w:shd w:val="clear" w:color="auto" w:fill="auto"/>
            <w:tcMar>
              <w:top w:w="0" w:type="dxa"/>
              <w:left w:w="100" w:type="dxa"/>
              <w:bottom w:w="0" w:type="dxa"/>
              <w:right w:w="100" w:type="dxa"/>
            </w:tcMar>
          </w:tcPr>
          <w:p w14:paraId="085E5488"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Undergraduate/Bachelor</w:t>
            </w:r>
          </w:p>
        </w:tc>
        <w:tc>
          <w:tcPr>
            <w:tcW w:w="2220" w:type="dxa"/>
            <w:tcBorders>
              <w:top w:val="nil"/>
              <w:left w:val="nil"/>
              <w:bottom w:val="nil"/>
              <w:right w:val="nil"/>
            </w:tcBorders>
            <w:shd w:val="clear" w:color="auto" w:fill="auto"/>
            <w:tcMar>
              <w:top w:w="0" w:type="dxa"/>
              <w:left w:w="100" w:type="dxa"/>
              <w:bottom w:w="0" w:type="dxa"/>
              <w:right w:w="100" w:type="dxa"/>
            </w:tcMar>
          </w:tcPr>
          <w:p w14:paraId="25DD8AB9"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2</w:t>
            </w:r>
          </w:p>
        </w:tc>
      </w:tr>
      <w:tr w:rsidR="00FD6E76" w14:paraId="0B420C78" w14:textId="77777777">
        <w:trPr>
          <w:trHeight w:val="495"/>
        </w:trPr>
        <w:tc>
          <w:tcPr>
            <w:tcW w:w="3600" w:type="dxa"/>
            <w:tcBorders>
              <w:top w:val="single" w:sz="5" w:space="0" w:color="7F7F7F"/>
              <w:left w:val="nil"/>
              <w:bottom w:val="single" w:sz="5" w:space="0" w:color="7F7F7F"/>
              <w:right w:val="nil"/>
            </w:tcBorders>
            <w:shd w:val="clear" w:color="auto" w:fill="auto"/>
            <w:tcMar>
              <w:top w:w="0" w:type="dxa"/>
              <w:left w:w="100" w:type="dxa"/>
              <w:bottom w:w="0" w:type="dxa"/>
              <w:right w:w="100" w:type="dxa"/>
            </w:tcMar>
          </w:tcPr>
          <w:p w14:paraId="3B5242FC"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Post-Graduate (Certificate or Diploma)</w:t>
            </w:r>
          </w:p>
        </w:tc>
        <w:tc>
          <w:tcPr>
            <w:tcW w:w="2220" w:type="dxa"/>
            <w:tcBorders>
              <w:top w:val="single" w:sz="5" w:space="0" w:color="7F7F7F"/>
              <w:left w:val="nil"/>
              <w:bottom w:val="single" w:sz="5" w:space="0" w:color="7F7F7F"/>
              <w:right w:val="nil"/>
            </w:tcBorders>
            <w:shd w:val="clear" w:color="auto" w:fill="auto"/>
            <w:tcMar>
              <w:top w:w="0" w:type="dxa"/>
              <w:left w:w="100" w:type="dxa"/>
              <w:bottom w:w="0" w:type="dxa"/>
              <w:right w:w="100" w:type="dxa"/>
            </w:tcMar>
          </w:tcPr>
          <w:p w14:paraId="5DE091B1"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 xml:space="preserve"> </w:t>
            </w:r>
          </w:p>
        </w:tc>
      </w:tr>
      <w:tr w:rsidR="00FD6E76" w14:paraId="0FB8CB7B" w14:textId="77777777">
        <w:trPr>
          <w:trHeight w:val="255"/>
        </w:trPr>
        <w:tc>
          <w:tcPr>
            <w:tcW w:w="3600" w:type="dxa"/>
            <w:tcBorders>
              <w:top w:val="nil"/>
              <w:left w:val="nil"/>
              <w:bottom w:val="nil"/>
              <w:right w:val="nil"/>
            </w:tcBorders>
            <w:shd w:val="clear" w:color="auto" w:fill="auto"/>
            <w:tcMar>
              <w:top w:w="0" w:type="dxa"/>
              <w:left w:w="100" w:type="dxa"/>
              <w:bottom w:w="0" w:type="dxa"/>
              <w:right w:w="100" w:type="dxa"/>
            </w:tcMar>
          </w:tcPr>
          <w:p w14:paraId="7FE510E9"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Masters</w:t>
            </w:r>
          </w:p>
        </w:tc>
        <w:tc>
          <w:tcPr>
            <w:tcW w:w="2220" w:type="dxa"/>
            <w:tcBorders>
              <w:top w:val="nil"/>
              <w:left w:val="nil"/>
              <w:bottom w:val="nil"/>
              <w:right w:val="nil"/>
            </w:tcBorders>
            <w:shd w:val="clear" w:color="auto" w:fill="auto"/>
            <w:tcMar>
              <w:top w:w="0" w:type="dxa"/>
              <w:left w:w="100" w:type="dxa"/>
              <w:bottom w:w="0" w:type="dxa"/>
              <w:right w:w="100" w:type="dxa"/>
            </w:tcMar>
          </w:tcPr>
          <w:p w14:paraId="11C6B920"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4</w:t>
            </w:r>
          </w:p>
        </w:tc>
      </w:tr>
      <w:tr w:rsidR="00FD6E76" w14:paraId="1FECCF60" w14:textId="77777777">
        <w:trPr>
          <w:trHeight w:val="255"/>
        </w:trPr>
        <w:tc>
          <w:tcPr>
            <w:tcW w:w="3600" w:type="dxa"/>
            <w:tcBorders>
              <w:top w:val="single" w:sz="5" w:space="0" w:color="7F7F7F"/>
              <w:left w:val="nil"/>
              <w:bottom w:val="single" w:sz="5" w:space="0" w:color="7F7F7F"/>
              <w:right w:val="nil"/>
            </w:tcBorders>
            <w:shd w:val="clear" w:color="auto" w:fill="auto"/>
            <w:tcMar>
              <w:top w:w="0" w:type="dxa"/>
              <w:left w:w="100" w:type="dxa"/>
              <w:bottom w:w="0" w:type="dxa"/>
              <w:right w:w="100" w:type="dxa"/>
            </w:tcMar>
          </w:tcPr>
          <w:p w14:paraId="3F62F2C5"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PhD</w:t>
            </w:r>
          </w:p>
        </w:tc>
        <w:tc>
          <w:tcPr>
            <w:tcW w:w="2220" w:type="dxa"/>
            <w:tcBorders>
              <w:top w:val="single" w:sz="5" w:space="0" w:color="7F7F7F"/>
              <w:left w:val="nil"/>
              <w:bottom w:val="single" w:sz="5" w:space="0" w:color="7F7F7F"/>
              <w:right w:val="nil"/>
            </w:tcBorders>
            <w:shd w:val="clear" w:color="auto" w:fill="auto"/>
            <w:tcMar>
              <w:top w:w="0" w:type="dxa"/>
              <w:left w:w="100" w:type="dxa"/>
              <w:bottom w:w="0" w:type="dxa"/>
              <w:right w:w="100" w:type="dxa"/>
            </w:tcMar>
          </w:tcPr>
          <w:p w14:paraId="5208352D" w14:textId="77777777" w:rsidR="00FD6E76" w:rsidRDefault="00A840BB">
            <w:pPr>
              <w:shd w:val="clear" w:color="auto" w:fill="FFFFFF"/>
              <w:jc w:val="both"/>
              <w:rPr>
                <w:rFonts w:ascii="Calibri" w:eastAsia="Calibri" w:hAnsi="Calibri" w:cs="Calibri"/>
                <w:sz w:val="20"/>
                <w:szCs w:val="20"/>
              </w:rPr>
            </w:pPr>
            <w:r>
              <w:rPr>
                <w:rFonts w:ascii="Calibri" w:eastAsia="Calibri" w:hAnsi="Calibri" w:cs="Calibri"/>
                <w:sz w:val="20"/>
                <w:szCs w:val="20"/>
              </w:rPr>
              <w:t xml:space="preserve"> </w:t>
            </w:r>
          </w:p>
        </w:tc>
      </w:tr>
    </w:tbl>
    <w:p w14:paraId="5ADC490D" w14:textId="77777777" w:rsidR="00FD6E76" w:rsidRDefault="00FD6E76">
      <w:pPr>
        <w:shd w:val="clear" w:color="auto" w:fill="FFFFFF"/>
        <w:spacing w:after="200"/>
        <w:jc w:val="both"/>
        <w:rPr>
          <w:rFonts w:ascii="Calibri" w:eastAsia="Calibri" w:hAnsi="Calibri" w:cs="Calibri"/>
          <w:b/>
        </w:rPr>
      </w:pPr>
    </w:p>
    <w:p w14:paraId="4FEB53E2" w14:textId="77777777" w:rsidR="00FD6E76" w:rsidRDefault="00A840BB">
      <w:pPr>
        <w:shd w:val="clear" w:color="auto" w:fill="FFFFFF"/>
        <w:spacing w:after="200" w:line="360" w:lineRule="auto"/>
        <w:jc w:val="both"/>
        <w:rPr>
          <w:rFonts w:ascii="Calibri" w:eastAsia="Calibri" w:hAnsi="Calibri" w:cs="Calibri"/>
          <w:i/>
        </w:rPr>
      </w:pPr>
      <w:r>
        <w:rPr>
          <w:rFonts w:ascii="Calibri" w:eastAsia="Calibri" w:hAnsi="Calibri" w:cs="Calibri"/>
          <w:i/>
        </w:rPr>
        <w:t>Problem 1. Clinical practice</w:t>
      </w:r>
    </w:p>
    <w:p w14:paraId="11FDEEFA" w14:textId="77777777" w:rsidR="00FD6E76" w:rsidRDefault="00A840BB">
      <w:pPr>
        <w:shd w:val="clear" w:color="auto" w:fill="FFFFFF"/>
        <w:spacing w:after="200" w:line="360" w:lineRule="auto"/>
        <w:jc w:val="both"/>
        <w:rPr>
          <w:rFonts w:ascii="Calibri" w:eastAsia="Calibri" w:hAnsi="Calibri" w:cs="Calibri"/>
        </w:rPr>
      </w:pPr>
      <w:r>
        <w:rPr>
          <w:rFonts w:ascii="Calibri" w:eastAsia="Calibri" w:hAnsi="Calibri" w:cs="Calibri"/>
        </w:rPr>
        <w:t xml:space="preserve">Data analysis identified a number of ‘problems areas’ related to how the core notions of participants’ experience of clinical practice, namely ‘patient’, ‘treatment’, and ‘examination’ and ‘management’. These problem areas resulted in thirty items being amended, with six requiring no change. The problem areas and revised items are summarised in Table 3 and detailed in supplementary material 1. </w:t>
      </w:r>
    </w:p>
    <w:p w14:paraId="55C5B98C" w14:textId="77777777" w:rsidR="00FD6E76" w:rsidRDefault="00FD6E76">
      <w:pPr>
        <w:shd w:val="clear" w:color="auto" w:fill="FFFFFF"/>
        <w:spacing w:after="200"/>
        <w:jc w:val="both"/>
        <w:rPr>
          <w:rFonts w:ascii="Calibri" w:eastAsia="Calibri" w:hAnsi="Calibri" w:cs="Calibri"/>
          <w:i/>
        </w:rPr>
      </w:pPr>
    </w:p>
    <w:p w14:paraId="1D6C09B3" w14:textId="77777777" w:rsidR="00FD6E76" w:rsidRDefault="00A840BB">
      <w:pPr>
        <w:shd w:val="clear" w:color="auto" w:fill="FFFFFF"/>
        <w:spacing w:after="200"/>
        <w:jc w:val="both"/>
        <w:rPr>
          <w:rFonts w:ascii="Calibri" w:eastAsia="Calibri" w:hAnsi="Calibri" w:cs="Calibri"/>
        </w:rPr>
      </w:pPr>
      <w:r>
        <w:rPr>
          <w:rFonts w:ascii="Calibri" w:eastAsia="Calibri" w:hAnsi="Calibri" w:cs="Calibri"/>
        </w:rPr>
        <w:t xml:space="preserve">Table 3. Summary of problem areas with example of original wording and revised wording in bold and underlined). *Amended to possessive pronoun </w:t>
      </w:r>
    </w:p>
    <w:tbl>
      <w:tblPr>
        <w:tblStyle w:val="a1"/>
        <w:tblW w:w="10680" w:type="dxa"/>
        <w:tblInd w:w="-660" w:type="dxa"/>
        <w:tblBorders>
          <w:top w:val="nil"/>
          <w:left w:val="nil"/>
          <w:bottom w:val="nil"/>
          <w:right w:val="nil"/>
          <w:insideH w:val="nil"/>
          <w:insideV w:val="nil"/>
        </w:tblBorders>
        <w:tblLayout w:type="fixed"/>
        <w:tblLook w:val="0600" w:firstRow="0" w:lastRow="0" w:firstColumn="0" w:lastColumn="0" w:noHBand="1" w:noVBand="1"/>
      </w:tblPr>
      <w:tblGrid>
        <w:gridCol w:w="1770"/>
        <w:gridCol w:w="2115"/>
        <w:gridCol w:w="1680"/>
        <w:gridCol w:w="1935"/>
        <w:gridCol w:w="1845"/>
        <w:gridCol w:w="1335"/>
      </w:tblGrid>
      <w:tr w:rsidR="00FD6E76" w14:paraId="7FF699A6" w14:textId="77777777">
        <w:trPr>
          <w:trHeight w:val="1650"/>
        </w:trPr>
        <w:tc>
          <w:tcPr>
            <w:tcW w:w="177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54BCE9B3" w14:textId="77777777" w:rsidR="00FD6E76" w:rsidRDefault="00A840BB">
            <w:pPr>
              <w:shd w:val="clear" w:color="auto" w:fill="FFFFFF"/>
              <w:rPr>
                <w:rFonts w:ascii="Calibri" w:eastAsia="Calibri" w:hAnsi="Calibri" w:cs="Calibri"/>
                <w:b/>
              </w:rPr>
            </w:pPr>
            <w:r>
              <w:rPr>
                <w:rFonts w:ascii="Calibri" w:eastAsia="Calibri" w:hAnsi="Calibri" w:cs="Calibri"/>
                <w:b/>
              </w:rPr>
              <w:t xml:space="preserve">Clinical practice problem area </w:t>
            </w:r>
          </w:p>
        </w:tc>
        <w:tc>
          <w:tcPr>
            <w:tcW w:w="211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E5E516A" w14:textId="77777777" w:rsidR="00FD6E76" w:rsidRDefault="00A840BB">
            <w:pPr>
              <w:shd w:val="clear" w:color="auto" w:fill="FFFFFF"/>
              <w:rPr>
                <w:rFonts w:ascii="Calibri" w:eastAsia="Calibri" w:hAnsi="Calibri" w:cs="Calibri"/>
                <w:b/>
              </w:rPr>
            </w:pPr>
            <w:r>
              <w:rPr>
                <w:rFonts w:ascii="Calibri" w:eastAsia="Calibri" w:hAnsi="Calibri" w:cs="Calibri"/>
                <w:b/>
              </w:rPr>
              <w:t>Example of original wording</w:t>
            </w:r>
          </w:p>
        </w:tc>
        <w:tc>
          <w:tcPr>
            <w:tcW w:w="168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3664419" w14:textId="77777777" w:rsidR="00FD6E76" w:rsidRDefault="00A840BB">
            <w:pPr>
              <w:shd w:val="clear" w:color="auto" w:fill="FFFFFF"/>
              <w:rPr>
                <w:rFonts w:ascii="Calibri" w:eastAsia="Calibri" w:hAnsi="Calibri" w:cs="Calibri"/>
                <w:b/>
              </w:rPr>
            </w:pPr>
            <w:r>
              <w:rPr>
                <w:rFonts w:ascii="Calibri" w:eastAsia="Calibri" w:hAnsi="Calibri" w:cs="Calibri"/>
                <w:b/>
              </w:rPr>
              <w:t xml:space="preserve">Example of revised </w:t>
            </w:r>
            <w:proofErr w:type="gramStart"/>
            <w:r>
              <w:rPr>
                <w:rFonts w:ascii="Calibri" w:eastAsia="Calibri" w:hAnsi="Calibri" w:cs="Calibri"/>
                <w:b/>
              </w:rPr>
              <w:t>wording  (</w:t>
            </w:r>
            <w:proofErr w:type="gramEnd"/>
            <w:r>
              <w:rPr>
                <w:rFonts w:ascii="Calibri" w:eastAsia="Calibri" w:hAnsi="Calibri" w:cs="Calibri"/>
                <w:b/>
              </w:rPr>
              <w:t>revisions bold underlined)</w:t>
            </w:r>
          </w:p>
        </w:tc>
        <w:tc>
          <w:tcPr>
            <w:tcW w:w="193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54F3ED5" w14:textId="77777777" w:rsidR="00FD6E76" w:rsidRDefault="00A840BB">
            <w:pPr>
              <w:shd w:val="clear" w:color="auto" w:fill="FFFFFF"/>
              <w:rPr>
                <w:rFonts w:ascii="Calibri" w:eastAsia="Calibri" w:hAnsi="Calibri" w:cs="Calibri"/>
                <w:b/>
              </w:rPr>
            </w:pPr>
            <w:r>
              <w:rPr>
                <w:rFonts w:ascii="Calibri" w:eastAsia="Calibri" w:hAnsi="Calibri" w:cs="Calibri"/>
                <w:b/>
              </w:rPr>
              <w:t>Reason for change</w:t>
            </w:r>
          </w:p>
        </w:tc>
        <w:tc>
          <w:tcPr>
            <w:tcW w:w="184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C2A63B7" w14:textId="77777777" w:rsidR="00FD6E76" w:rsidRDefault="00A840BB">
            <w:pPr>
              <w:shd w:val="clear" w:color="auto" w:fill="FFFFFF"/>
              <w:rPr>
                <w:rFonts w:ascii="Calibri" w:eastAsia="Calibri" w:hAnsi="Calibri" w:cs="Calibri"/>
                <w:b/>
              </w:rPr>
            </w:pPr>
            <w:r>
              <w:rPr>
                <w:rFonts w:ascii="Calibri" w:eastAsia="Calibri" w:hAnsi="Calibri" w:cs="Calibri"/>
                <w:b/>
              </w:rPr>
              <w:t>Supporting quotation</w:t>
            </w:r>
          </w:p>
        </w:tc>
        <w:tc>
          <w:tcPr>
            <w:tcW w:w="133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1406AE1" w14:textId="77777777" w:rsidR="00FD6E76" w:rsidRDefault="00A840BB">
            <w:pPr>
              <w:shd w:val="clear" w:color="auto" w:fill="FFFFFF"/>
              <w:rPr>
                <w:rFonts w:ascii="Calibri" w:eastAsia="Calibri" w:hAnsi="Calibri" w:cs="Calibri"/>
              </w:rPr>
            </w:pPr>
            <w:r>
              <w:rPr>
                <w:rFonts w:ascii="Calibri" w:eastAsia="Calibri" w:hAnsi="Calibri" w:cs="Calibri"/>
                <w:b/>
              </w:rPr>
              <w:t xml:space="preserve">Items revised </w:t>
            </w:r>
            <w:r>
              <w:rPr>
                <w:rFonts w:ascii="Calibri" w:eastAsia="Calibri" w:hAnsi="Calibri" w:cs="Calibri"/>
              </w:rPr>
              <w:t>(discussed and agreed at round 3 of data analysis)</w:t>
            </w:r>
          </w:p>
          <w:p w14:paraId="1F50F5E8" w14:textId="77777777" w:rsidR="00FD6E76" w:rsidRDefault="00FD6E76">
            <w:pPr>
              <w:shd w:val="clear" w:color="auto" w:fill="FFFFFF"/>
              <w:rPr>
                <w:rFonts w:ascii="Calibri" w:eastAsia="Calibri" w:hAnsi="Calibri" w:cs="Calibri"/>
                <w:b/>
              </w:rPr>
            </w:pPr>
          </w:p>
        </w:tc>
      </w:tr>
      <w:tr w:rsidR="00FD6E76" w14:paraId="1935C79C" w14:textId="77777777">
        <w:trPr>
          <w:trHeight w:val="3555"/>
        </w:trPr>
        <w:tc>
          <w:tcPr>
            <w:tcW w:w="17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2716EE1" w14:textId="77777777" w:rsidR="00FD6E76" w:rsidRDefault="00A840BB">
            <w:pPr>
              <w:shd w:val="clear" w:color="auto" w:fill="FFFFFF"/>
              <w:rPr>
                <w:rFonts w:ascii="Calibri" w:eastAsia="Calibri" w:hAnsi="Calibri" w:cs="Calibri"/>
                <w:b/>
              </w:rPr>
            </w:pPr>
            <w:r>
              <w:rPr>
                <w:rFonts w:ascii="Calibri" w:eastAsia="Calibri" w:hAnsi="Calibri" w:cs="Calibri"/>
                <w:b/>
              </w:rPr>
              <w:t>The patient</w:t>
            </w:r>
          </w:p>
        </w:tc>
        <w:tc>
          <w:tcPr>
            <w:tcW w:w="2115" w:type="dxa"/>
            <w:tcBorders>
              <w:top w:val="nil"/>
              <w:left w:val="nil"/>
              <w:bottom w:val="single" w:sz="5" w:space="0" w:color="000000"/>
              <w:right w:val="single" w:sz="5" w:space="0" w:color="000000"/>
            </w:tcBorders>
            <w:tcMar>
              <w:top w:w="0" w:type="dxa"/>
              <w:left w:w="100" w:type="dxa"/>
              <w:bottom w:w="0" w:type="dxa"/>
              <w:right w:w="100" w:type="dxa"/>
            </w:tcMar>
          </w:tcPr>
          <w:p w14:paraId="44B76975" w14:textId="77777777" w:rsidR="00FD6E76" w:rsidRDefault="00A840BB">
            <w:pPr>
              <w:shd w:val="clear" w:color="auto" w:fill="FFFFFF"/>
              <w:rPr>
                <w:rFonts w:ascii="Calibri" w:eastAsia="Calibri" w:hAnsi="Calibri" w:cs="Calibri"/>
              </w:rPr>
            </w:pPr>
            <w:r>
              <w:rPr>
                <w:rFonts w:ascii="Calibri" w:eastAsia="Calibri" w:hAnsi="Calibri" w:cs="Calibri"/>
              </w:rPr>
              <w:t>I focus on finding the tissues causing symptoms during my examination of the patient</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4B557E6D" w14:textId="77777777" w:rsidR="00FD6E76" w:rsidRDefault="00A840BB">
            <w:pPr>
              <w:shd w:val="clear" w:color="auto" w:fill="FFFFFF"/>
              <w:rPr>
                <w:rFonts w:ascii="Calibri" w:eastAsia="Calibri" w:hAnsi="Calibri" w:cs="Calibri"/>
              </w:rPr>
            </w:pPr>
            <w:r>
              <w:rPr>
                <w:rFonts w:ascii="Calibri" w:eastAsia="Calibri" w:hAnsi="Calibri" w:cs="Calibri"/>
              </w:rPr>
              <w:t xml:space="preserve">I focus on finding the tissues causing symptoms during my examination of </w:t>
            </w:r>
            <w:r>
              <w:rPr>
                <w:rFonts w:ascii="Calibri" w:eastAsia="Calibri" w:hAnsi="Calibri" w:cs="Calibri"/>
                <w:b/>
                <w:u w:val="single"/>
              </w:rPr>
              <w:t>my*</w:t>
            </w:r>
            <w:r>
              <w:rPr>
                <w:rFonts w:ascii="Calibri" w:eastAsia="Calibri" w:hAnsi="Calibri" w:cs="Calibri"/>
              </w:rPr>
              <w:t xml:space="preserve"> patients</w:t>
            </w:r>
          </w:p>
        </w:tc>
        <w:tc>
          <w:tcPr>
            <w:tcW w:w="1935" w:type="dxa"/>
            <w:tcBorders>
              <w:top w:val="nil"/>
              <w:left w:val="nil"/>
              <w:bottom w:val="single" w:sz="5" w:space="0" w:color="000000"/>
              <w:right w:val="single" w:sz="5" w:space="0" w:color="000000"/>
            </w:tcBorders>
            <w:tcMar>
              <w:top w:w="0" w:type="dxa"/>
              <w:left w:w="100" w:type="dxa"/>
              <w:bottom w:w="0" w:type="dxa"/>
              <w:right w:w="100" w:type="dxa"/>
            </w:tcMar>
          </w:tcPr>
          <w:p w14:paraId="29DFFC08" w14:textId="77777777" w:rsidR="00FD6E76" w:rsidRDefault="00A840BB">
            <w:pPr>
              <w:shd w:val="clear" w:color="auto" w:fill="FFFFFF"/>
              <w:rPr>
                <w:rFonts w:ascii="Calibri" w:eastAsia="Calibri" w:hAnsi="Calibri" w:cs="Calibri"/>
              </w:rPr>
            </w:pPr>
            <w:r>
              <w:rPr>
                <w:rFonts w:ascii="Calibri" w:eastAsia="Calibri" w:hAnsi="Calibri" w:cs="Calibri"/>
              </w:rPr>
              <w:t xml:space="preserve">Participants frequently referred to their patients. Replacing ‘the patient’ with ‘my patient’ meant that the possessive pronoun ‘my’ personalised the item and located it in the practice </w:t>
            </w:r>
            <w:r>
              <w:rPr>
                <w:rFonts w:ascii="Calibri" w:eastAsia="Calibri" w:hAnsi="Calibri" w:cs="Calibri"/>
              </w:rPr>
              <w:lastRenderedPageBreak/>
              <w:t>reality of the clinician completing the Osteo-TAQ.</w:t>
            </w:r>
          </w:p>
          <w:p w14:paraId="10D48FFB" w14:textId="77777777" w:rsidR="00FD6E76" w:rsidRDefault="00A840BB">
            <w:pPr>
              <w:shd w:val="clear" w:color="auto" w:fill="FFFFFF"/>
              <w:rPr>
                <w:rFonts w:ascii="Calibri" w:eastAsia="Calibri" w:hAnsi="Calibri" w:cs="Calibri"/>
                <w:i/>
              </w:rPr>
            </w:pPr>
            <w:r>
              <w:rPr>
                <w:rFonts w:ascii="Calibri" w:eastAsia="Calibri" w:hAnsi="Calibri" w:cs="Calibri"/>
                <w:i/>
              </w:rPr>
              <w:t xml:space="preserve"> </w:t>
            </w:r>
          </w:p>
        </w:tc>
        <w:tc>
          <w:tcPr>
            <w:tcW w:w="1845" w:type="dxa"/>
            <w:tcBorders>
              <w:top w:val="nil"/>
              <w:left w:val="nil"/>
              <w:bottom w:val="single" w:sz="5" w:space="0" w:color="000000"/>
              <w:right w:val="single" w:sz="5" w:space="0" w:color="000000"/>
            </w:tcBorders>
            <w:tcMar>
              <w:top w:w="0" w:type="dxa"/>
              <w:left w:w="100" w:type="dxa"/>
              <w:bottom w:w="0" w:type="dxa"/>
              <w:right w:w="100" w:type="dxa"/>
            </w:tcMar>
          </w:tcPr>
          <w:p w14:paraId="45A45831" w14:textId="77777777" w:rsidR="00FD6E76" w:rsidRDefault="00A840BB">
            <w:pPr>
              <w:shd w:val="clear" w:color="auto" w:fill="FFFFFF"/>
              <w:rPr>
                <w:rFonts w:ascii="Calibri" w:eastAsia="Calibri" w:hAnsi="Calibri" w:cs="Calibri"/>
                <w:i/>
              </w:rPr>
            </w:pPr>
            <w:r>
              <w:rPr>
                <w:rFonts w:ascii="Calibri" w:eastAsia="Calibri" w:hAnsi="Calibri" w:cs="Calibri"/>
                <w:i/>
              </w:rPr>
              <w:lastRenderedPageBreak/>
              <w:t>I'm actually trying to set my patients up for a long term, supportive relationship with the babies (P6)</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14:paraId="4CD818A1" w14:textId="77777777" w:rsidR="00FD6E76" w:rsidRDefault="00A840BB">
            <w:pPr>
              <w:shd w:val="clear" w:color="auto" w:fill="FFFFFF"/>
              <w:rPr>
                <w:rFonts w:ascii="Calibri" w:eastAsia="Calibri" w:hAnsi="Calibri" w:cs="Calibri"/>
              </w:rPr>
            </w:pPr>
            <w:r>
              <w:rPr>
                <w:rFonts w:ascii="Calibri" w:eastAsia="Calibri" w:hAnsi="Calibri" w:cs="Calibri"/>
              </w:rPr>
              <w:t>1-7, 9, 10, 11, 12, 13, 14, 16, 17, 19, 21-24, 26-28, 31-33, 35, 36</w:t>
            </w:r>
          </w:p>
        </w:tc>
      </w:tr>
      <w:tr w:rsidR="00FD6E76" w14:paraId="79C4ED1D" w14:textId="77777777">
        <w:trPr>
          <w:trHeight w:val="4050"/>
        </w:trPr>
        <w:tc>
          <w:tcPr>
            <w:tcW w:w="17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F376D76" w14:textId="77777777" w:rsidR="00FD6E76" w:rsidRDefault="00A840BB">
            <w:pPr>
              <w:shd w:val="clear" w:color="auto" w:fill="FFFFFF"/>
              <w:rPr>
                <w:rFonts w:ascii="Calibri" w:eastAsia="Calibri" w:hAnsi="Calibri" w:cs="Calibri"/>
                <w:b/>
              </w:rPr>
            </w:pPr>
            <w:r>
              <w:rPr>
                <w:rFonts w:ascii="Calibri" w:eastAsia="Calibri" w:hAnsi="Calibri" w:cs="Calibri"/>
                <w:b/>
              </w:rPr>
              <w:t>Examination</w:t>
            </w:r>
          </w:p>
          <w:p w14:paraId="4C6F0DC6" w14:textId="77777777" w:rsidR="00FD6E76" w:rsidRDefault="00A840BB">
            <w:pPr>
              <w:shd w:val="clear" w:color="auto" w:fill="FFFFFF"/>
              <w:rPr>
                <w:rFonts w:ascii="Calibri" w:eastAsia="Calibri" w:hAnsi="Calibri" w:cs="Calibri"/>
                <w:b/>
                <w:i/>
              </w:rPr>
            </w:pPr>
            <w:r>
              <w:rPr>
                <w:rFonts w:ascii="Calibri" w:eastAsia="Calibri" w:hAnsi="Calibri" w:cs="Calibri"/>
                <w:b/>
                <w:i/>
              </w:rPr>
              <w:t xml:space="preserve"> </w:t>
            </w:r>
          </w:p>
          <w:p w14:paraId="5B7050D3" w14:textId="77777777" w:rsidR="00FD6E76" w:rsidRDefault="00A840BB">
            <w:pPr>
              <w:shd w:val="clear" w:color="auto" w:fill="FFFFFF"/>
              <w:rPr>
                <w:rFonts w:ascii="Calibri" w:eastAsia="Calibri" w:hAnsi="Calibri" w:cs="Calibri"/>
                <w:b/>
                <w:i/>
              </w:rPr>
            </w:pPr>
            <w:r>
              <w:rPr>
                <w:rFonts w:ascii="Calibri" w:eastAsia="Calibri" w:hAnsi="Calibri" w:cs="Calibri"/>
                <w:b/>
                <w:i/>
              </w:rPr>
              <w:t xml:space="preserve"> </w:t>
            </w:r>
          </w:p>
        </w:tc>
        <w:tc>
          <w:tcPr>
            <w:tcW w:w="2115" w:type="dxa"/>
            <w:tcBorders>
              <w:top w:val="nil"/>
              <w:left w:val="nil"/>
              <w:bottom w:val="single" w:sz="5" w:space="0" w:color="000000"/>
              <w:right w:val="single" w:sz="5" w:space="0" w:color="000000"/>
            </w:tcBorders>
            <w:tcMar>
              <w:top w:w="0" w:type="dxa"/>
              <w:left w:w="100" w:type="dxa"/>
              <w:bottom w:w="0" w:type="dxa"/>
              <w:right w:w="100" w:type="dxa"/>
            </w:tcMar>
          </w:tcPr>
          <w:p w14:paraId="7ED99E11" w14:textId="77777777" w:rsidR="00FD6E76" w:rsidRDefault="00A840BB">
            <w:pPr>
              <w:shd w:val="clear" w:color="auto" w:fill="FFFFFF"/>
              <w:rPr>
                <w:rFonts w:ascii="Calibri" w:eastAsia="Calibri" w:hAnsi="Calibri" w:cs="Calibri"/>
              </w:rPr>
            </w:pPr>
            <w:r>
              <w:rPr>
                <w:rFonts w:ascii="Calibri" w:eastAsia="Calibri" w:hAnsi="Calibri" w:cs="Calibri"/>
              </w:rPr>
              <w:t>I use observation of the patient’s body to direct my treatment</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7D91F632" w14:textId="77777777" w:rsidR="00FD6E76" w:rsidRDefault="00A840BB">
            <w:pPr>
              <w:shd w:val="clear" w:color="auto" w:fill="FFFFFF"/>
              <w:rPr>
                <w:rFonts w:ascii="Calibri" w:eastAsia="Calibri" w:hAnsi="Calibri" w:cs="Calibri"/>
              </w:rPr>
            </w:pPr>
            <w:r>
              <w:rPr>
                <w:rFonts w:ascii="Calibri" w:eastAsia="Calibri" w:hAnsi="Calibri" w:cs="Calibri"/>
              </w:rPr>
              <w:t xml:space="preserve">I use observation of </w:t>
            </w:r>
            <w:r>
              <w:rPr>
                <w:rFonts w:ascii="Calibri" w:eastAsia="Calibri" w:hAnsi="Calibri" w:cs="Calibri"/>
                <w:b/>
                <w:u w:val="single"/>
              </w:rPr>
              <w:t>my*</w:t>
            </w:r>
            <w:r>
              <w:rPr>
                <w:rFonts w:ascii="Calibri" w:eastAsia="Calibri" w:hAnsi="Calibri" w:cs="Calibri"/>
              </w:rPr>
              <w:t xml:space="preserve"> patients' </w:t>
            </w:r>
            <w:r>
              <w:rPr>
                <w:rFonts w:ascii="Calibri" w:eastAsia="Calibri" w:hAnsi="Calibri" w:cs="Calibri"/>
                <w:b/>
                <w:u w:val="single"/>
              </w:rPr>
              <w:t>postural alignment</w:t>
            </w:r>
            <w:r>
              <w:rPr>
                <w:rFonts w:ascii="Calibri" w:eastAsia="Calibri" w:hAnsi="Calibri" w:cs="Calibri"/>
              </w:rPr>
              <w:t xml:space="preserve"> to direct my treatment</w:t>
            </w:r>
          </w:p>
          <w:p w14:paraId="639EDE76" w14:textId="77777777" w:rsidR="00FD6E76" w:rsidRDefault="00A840BB">
            <w:pPr>
              <w:shd w:val="clear" w:color="auto" w:fill="FFFFFF"/>
              <w:rPr>
                <w:rFonts w:ascii="Calibri" w:eastAsia="Calibri" w:hAnsi="Calibri" w:cs="Calibri"/>
                <w:b/>
                <w:u w:val="single"/>
              </w:rPr>
            </w:pPr>
            <w:r>
              <w:rPr>
                <w:rFonts w:ascii="Calibri" w:eastAsia="Calibri" w:hAnsi="Calibri" w:cs="Calibri"/>
                <w:b/>
                <w:u w:val="single"/>
              </w:rPr>
              <w:t xml:space="preserve"> </w:t>
            </w:r>
          </w:p>
          <w:p w14:paraId="60C95046" w14:textId="77777777" w:rsidR="00FD6E76" w:rsidRDefault="00A840BB">
            <w:pPr>
              <w:shd w:val="clear" w:color="auto" w:fill="FFFFFF"/>
              <w:rPr>
                <w:rFonts w:ascii="Calibri" w:eastAsia="Calibri" w:hAnsi="Calibri" w:cs="Calibri"/>
                <w:b/>
                <w:u w:val="single"/>
              </w:rPr>
            </w:pPr>
            <w:r>
              <w:rPr>
                <w:rFonts w:ascii="Calibri" w:eastAsia="Calibri" w:hAnsi="Calibri" w:cs="Calibri"/>
                <w:b/>
                <w:u w:val="single"/>
              </w:rPr>
              <w:t xml:space="preserve"> </w:t>
            </w:r>
          </w:p>
          <w:p w14:paraId="26196D7D" w14:textId="77777777" w:rsidR="00FD6E76" w:rsidRDefault="00A840BB">
            <w:pPr>
              <w:shd w:val="clear" w:color="auto" w:fill="FFFFFF"/>
              <w:rPr>
                <w:rFonts w:ascii="Calibri" w:eastAsia="Calibri" w:hAnsi="Calibri" w:cs="Calibri"/>
                <w:b/>
                <w:u w:val="single"/>
              </w:rPr>
            </w:pPr>
            <w:r>
              <w:rPr>
                <w:rFonts w:ascii="Calibri" w:eastAsia="Calibri" w:hAnsi="Calibri" w:cs="Calibri"/>
                <w:b/>
                <w:u w:val="single"/>
              </w:rPr>
              <w:t xml:space="preserve"> </w:t>
            </w:r>
          </w:p>
          <w:p w14:paraId="388A2901" w14:textId="77777777" w:rsidR="00FD6E76" w:rsidRDefault="00A840BB">
            <w:pPr>
              <w:shd w:val="clear" w:color="auto" w:fill="FFFFFF"/>
              <w:rPr>
                <w:rFonts w:ascii="Calibri" w:eastAsia="Calibri" w:hAnsi="Calibri" w:cs="Calibri"/>
              </w:rPr>
            </w:pPr>
            <w:r>
              <w:rPr>
                <w:rFonts w:ascii="Calibri" w:eastAsia="Calibri" w:hAnsi="Calibri" w:cs="Calibri"/>
              </w:rPr>
              <w:t xml:space="preserve"> </w:t>
            </w:r>
          </w:p>
        </w:tc>
        <w:tc>
          <w:tcPr>
            <w:tcW w:w="1935" w:type="dxa"/>
            <w:tcBorders>
              <w:top w:val="nil"/>
              <w:left w:val="nil"/>
              <w:bottom w:val="single" w:sz="5" w:space="0" w:color="000000"/>
              <w:right w:val="single" w:sz="5" w:space="0" w:color="000000"/>
            </w:tcBorders>
            <w:tcMar>
              <w:top w:w="0" w:type="dxa"/>
              <w:left w:w="100" w:type="dxa"/>
              <w:bottom w:w="0" w:type="dxa"/>
              <w:right w:w="100" w:type="dxa"/>
            </w:tcMar>
          </w:tcPr>
          <w:p w14:paraId="2753E7FA" w14:textId="77777777" w:rsidR="00FD6E76" w:rsidRDefault="00A840BB">
            <w:pPr>
              <w:shd w:val="clear" w:color="auto" w:fill="FFFFFF"/>
              <w:rPr>
                <w:rFonts w:ascii="Calibri" w:eastAsia="Calibri" w:hAnsi="Calibri" w:cs="Calibri"/>
              </w:rPr>
            </w:pPr>
            <w:r>
              <w:rPr>
                <w:rFonts w:ascii="Calibri" w:eastAsia="Calibri" w:hAnsi="Calibri" w:cs="Calibri"/>
              </w:rPr>
              <w:t>Ambiguous wording and unclear what aspect of examination items were referring to.</w:t>
            </w:r>
          </w:p>
        </w:tc>
        <w:tc>
          <w:tcPr>
            <w:tcW w:w="1845" w:type="dxa"/>
            <w:tcBorders>
              <w:top w:val="nil"/>
              <w:left w:val="nil"/>
              <w:bottom w:val="single" w:sz="5" w:space="0" w:color="000000"/>
              <w:right w:val="single" w:sz="5" w:space="0" w:color="000000"/>
            </w:tcBorders>
            <w:tcMar>
              <w:top w:w="0" w:type="dxa"/>
              <w:left w:w="100" w:type="dxa"/>
              <w:bottom w:w="0" w:type="dxa"/>
              <w:right w:w="100" w:type="dxa"/>
            </w:tcMar>
          </w:tcPr>
          <w:p w14:paraId="58F728C7" w14:textId="77777777" w:rsidR="00FD6E76" w:rsidRDefault="00A840BB">
            <w:pPr>
              <w:shd w:val="clear" w:color="auto" w:fill="FFFFFF"/>
              <w:rPr>
                <w:rFonts w:ascii="Calibri" w:eastAsia="Calibri" w:hAnsi="Calibri" w:cs="Calibri"/>
                <w:i/>
              </w:rPr>
            </w:pPr>
            <w:r>
              <w:rPr>
                <w:rFonts w:ascii="Calibri" w:eastAsia="Calibri" w:hAnsi="Calibri" w:cs="Calibri"/>
                <w:i/>
              </w:rPr>
              <w:t>I interpreted observation to mean anything to do with watching patient during treatment’ (</w:t>
            </w:r>
            <w:proofErr w:type="spellStart"/>
            <w:r>
              <w:rPr>
                <w:rFonts w:ascii="Calibri" w:eastAsia="Calibri" w:hAnsi="Calibri" w:cs="Calibri"/>
                <w:i/>
              </w:rPr>
              <w:t>eg</w:t>
            </w:r>
            <w:proofErr w:type="spellEnd"/>
            <w:r>
              <w:rPr>
                <w:rFonts w:ascii="Calibri" w:eastAsia="Calibri" w:hAnsi="Calibri" w:cs="Calibri"/>
                <w:i/>
              </w:rPr>
              <w:t xml:space="preserve"> facial expressions, body tensing etc) – rather than postural observation (P2)</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14:paraId="1CE434A9" w14:textId="77777777" w:rsidR="00FD6E76" w:rsidRDefault="00A840BB">
            <w:pPr>
              <w:shd w:val="clear" w:color="auto" w:fill="FFFFFF"/>
              <w:rPr>
                <w:rFonts w:ascii="Calibri" w:eastAsia="Calibri" w:hAnsi="Calibri" w:cs="Calibri"/>
              </w:rPr>
            </w:pPr>
            <w:r>
              <w:rPr>
                <w:rFonts w:ascii="Calibri" w:eastAsia="Calibri" w:hAnsi="Calibri" w:cs="Calibri"/>
              </w:rPr>
              <w:t>12, 25</w:t>
            </w:r>
          </w:p>
        </w:tc>
      </w:tr>
      <w:tr w:rsidR="00FD6E76" w14:paraId="2FC4E0CF" w14:textId="77777777">
        <w:trPr>
          <w:trHeight w:val="2280"/>
        </w:trPr>
        <w:tc>
          <w:tcPr>
            <w:tcW w:w="17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2C97ACF" w14:textId="77777777" w:rsidR="00FD6E76" w:rsidRDefault="00A840BB">
            <w:pPr>
              <w:shd w:val="clear" w:color="auto" w:fill="FFFFFF"/>
              <w:rPr>
                <w:rFonts w:ascii="Calibri" w:eastAsia="Calibri" w:hAnsi="Calibri" w:cs="Calibri"/>
                <w:b/>
              </w:rPr>
            </w:pPr>
            <w:r>
              <w:rPr>
                <w:rFonts w:ascii="Calibri" w:eastAsia="Calibri" w:hAnsi="Calibri" w:cs="Calibri"/>
                <w:b/>
              </w:rPr>
              <w:t>Treatment</w:t>
            </w:r>
          </w:p>
        </w:tc>
        <w:tc>
          <w:tcPr>
            <w:tcW w:w="2115" w:type="dxa"/>
            <w:tcBorders>
              <w:top w:val="nil"/>
              <w:left w:val="nil"/>
              <w:bottom w:val="single" w:sz="5" w:space="0" w:color="000000"/>
              <w:right w:val="single" w:sz="5" w:space="0" w:color="000000"/>
            </w:tcBorders>
            <w:tcMar>
              <w:top w:w="0" w:type="dxa"/>
              <w:left w:w="100" w:type="dxa"/>
              <w:bottom w:w="0" w:type="dxa"/>
              <w:right w:w="100" w:type="dxa"/>
            </w:tcMar>
          </w:tcPr>
          <w:p w14:paraId="567901AF" w14:textId="77777777" w:rsidR="00FD6E76" w:rsidRDefault="00A840BB">
            <w:pPr>
              <w:shd w:val="clear" w:color="auto" w:fill="FFFFFF"/>
              <w:rPr>
                <w:rFonts w:ascii="Calibri" w:eastAsia="Calibri" w:hAnsi="Calibri" w:cs="Calibri"/>
              </w:rPr>
            </w:pPr>
            <w:r>
              <w:rPr>
                <w:rFonts w:ascii="Calibri" w:eastAsia="Calibri" w:hAnsi="Calibri" w:cs="Calibri"/>
              </w:rPr>
              <w:t>I use palpation and joint assessment to direct treatment to address dysfunctions</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7B427009" w14:textId="77777777" w:rsidR="00FD6E76" w:rsidRDefault="00A840BB">
            <w:pPr>
              <w:shd w:val="clear" w:color="auto" w:fill="FFFFFF"/>
              <w:rPr>
                <w:rFonts w:ascii="Calibri" w:eastAsia="Calibri" w:hAnsi="Calibri" w:cs="Calibri"/>
              </w:rPr>
            </w:pPr>
            <w:r>
              <w:rPr>
                <w:rFonts w:ascii="Calibri" w:eastAsia="Calibri" w:hAnsi="Calibri" w:cs="Calibri"/>
              </w:rPr>
              <w:t xml:space="preserve">I use palpation and joint assessment to direct </w:t>
            </w:r>
            <w:r>
              <w:rPr>
                <w:rFonts w:ascii="Calibri" w:eastAsia="Calibri" w:hAnsi="Calibri" w:cs="Calibri"/>
                <w:b/>
                <w:u w:val="single"/>
              </w:rPr>
              <w:t>hands-on</w:t>
            </w:r>
            <w:r>
              <w:rPr>
                <w:rFonts w:ascii="Calibri" w:eastAsia="Calibri" w:hAnsi="Calibri" w:cs="Calibri"/>
              </w:rPr>
              <w:t xml:space="preserve"> treatment to address dysfunctions</w:t>
            </w:r>
          </w:p>
        </w:tc>
        <w:tc>
          <w:tcPr>
            <w:tcW w:w="1935" w:type="dxa"/>
            <w:tcBorders>
              <w:top w:val="nil"/>
              <w:left w:val="nil"/>
              <w:bottom w:val="single" w:sz="5" w:space="0" w:color="000000"/>
              <w:right w:val="single" w:sz="5" w:space="0" w:color="000000"/>
            </w:tcBorders>
            <w:tcMar>
              <w:top w:w="0" w:type="dxa"/>
              <w:left w:w="100" w:type="dxa"/>
              <w:bottom w:w="0" w:type="dxa"/>
              <w:right w:w="100" w:type="dxa"/>
            </w:tcMar>
          </w:tcPr>
          <w:p w14:paraId="3ED104D4" w14:textId="77777777" w:rsidR="00FD6E76" w:rsidRDefault="00A840BB">
            <w:pPr>
              <w:shd w:val="clear" w:color="auto" w:fill="FFFFFF"/>
              <w:rPr>
                <w:rFonts w:ascii="Calibri" w:eastAsia="Calibri" w:hAnsi="Calibri" w:cs="Calibri"/>
                <w:i/>
              </w:rPr>
            </w:pPr>
            <w:r>
              <w:rPr>
                <w:rFonts w:ascii="Calibri" w:eastAsia="Calibri" w:hAnsi="Calibri" w:cs="Calibri"/>
              </w:rPr>
              <w:t>Adding the term ‘hands-on’ distinguishes treatment from other management approaches</w:t>
            </w:r>
            <w:r>
              <w:rPr>
                <w:rFonts w:ascii="Calibri" w:eastAsia="Calibri" w:hAnsi="Calibri" w:cs="Calibri"/>
                <w:i/>
              </w:rPr>
              <w:t>.</w:t>
            </w:r>
          </w:p>
          <w:p w14:paraId="73B300B8" w14:textId="77777777" w:rsidR="00FD6E76" w:rsidRDefault="00A840BB">
            <w:pPr>
              <w:shd w:val="clear" w:color="auto" w:fill="FFFFFF"/>
              <w:rPr>
                <w:rFonts w:ascii="Calibri" w:eastAsia="Calibri" w:hAnsi="Calibri" w:cs="Calibri"/>
                <w:i/>
              </w:rPr>
            </w:pPr>
            <w:r>
              <w:rPr>
                <w:rFonts w:ascii="Calibri" w:eastAsia="Calibri" w:hAnsi="Calibri" w:cs="Calibri"/>
                <w:i/>
              </w:rPr>
              <w:t xml:space="preserve"> </w:t>
            </w:r>
          </w:p>
        </w:tc>
        <w:tc>
          <w:tcPr>
            <w:tcW w:w="1845" w:type="dxa"/>
            <w:tcBorders>
              <w:top w:val="nil"/>
              <w:left w:val="nil"/>
              <w:bottom w:val="single" w:sz="5" w:space="0" w:color="000000"/>
              <w:right w:val="single" w:sz="5" w:space="0" w:color="000000"/>
            </w:tcBorders>
            <w:tcMar>
              <w:top w:w="0" w:type="dxa"/>
              <w:left w:w="100" w:type="dxa"/>
              <w:bottom w:w="0" w:type="dxa"/>
              <w:right w:w="100" w:type="dxa"/>
            </w:tcMar>
          </w:tcPr>
          <w:p w14:paraId="352F8C87" w14:textId="77777777" w:rsidR="00FD6E76" w:rsidRDefault="00A840BB">
            <w:pPr>
              <w:shd w:val="clear" w:color="auto" w:fill="FFFFFF"/>
              <w:rPr>
                <w:rFonts w:ascii="Calibri" w:eastAsia="Calibri" w:hAnsi="Calibri" w:cs="Calibri"/>
                <w:i/>
              </w:rPr>
            </w:pPr>
            <w:r>
              <w:rPr>
                <w:rFonts w:ascii="Calibri" w:eastAsia="Calibri" w:hAnsi="Calibri" w:cs="Calibri"/>
                <w:i/>
              </w:rPr>
              <w:t>a lot of what I do is hands on treatment (P5)</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14:paraId="7C2EF047" w14:textId="77777777" w:rsidR="00FD6E76" w:rsidRDefault="00A840BB">
            <w:pPr>
              <w:shd w:val="clear" w:color="auto" w:fill="FFFFFF"/>
              <w:rPr>
                <w:rFonts w:ascii="Calibri" w:eastAsia="Calibri" w:hAnsi="Calibri" w:cs="Calibri"/>
              </w:rPr>
            </w:pPr>
            <w:r>
              <w:rPr>
                <w:rFonts w:ascii="Calibri" w:eastAsia="Calibri" w:hAnsi="Calibri" w:cs="Calibri"/>
              </w:rPr>
              <w:t>3, 17, 20, 22, 28, 29</w:t>
            </w:r>
          </w:p>
        </w:tc>
      </w:tr>
      <w:tr w:rsidR="00FD6E76" w14:paraId="0327F071" w14:textId="77777777">
        <w:trPr>
          <w:trHeight w:val="2535"/>
        </w:trPr>
        <w:tc>
          <w:tcPr>
            <w:tcW w:w="17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EF13958" w14:textId="77777777" w:rsidR="00FD6E76" w:rsidRDefault="00A840BB">
            <w:pPr>
              <w:shd w:val="clear" w:color="auto" w:fill="FFFFFF"/>
              <w:rPr>
                <w:rFonts w:ascii="Calibri" w:eastAsia="Calibri" w:hAnsi="Calibri" w:cs="Calibri"/>
                <w:b/>
              </w:rPr>
            </w:pPr>
            <w:r>
              <w:rPr>
                <w:rFonts w:ascii="Calibri" w:eastAsia="Calibri" w:hAnsi="Calibri" w:cs="Calibri"/>
                <w:b/>
              </w:rPr>
              <w:t>Management</w:t>
            </w:r>
          </w:p>
        </w:tc>
        <w:tc>
          <w:tcPr>
            <w:tcW w:w="2115" w:type="dxa"/>
            <w:tcBorders>
              <w:top w:val="nil"/>
              <w:left w:val="nil"/>
              <w:bottom w:val="single" w:sz="5" w:space="0" w:color="000000"/>
              <w:right w:val="single" w:sz="5" w:space="0" w:color="000000"/>
            </w:tcBorders>
            <w:tcMar>
              <w:top w:w="0" w:type="dxa"/>
              <w:left w:w="100" w:type="dxa"/>
              <w:bottom w:w="0" w:type="dxa"/>
              <w:right w:w="100" w:type="dxa"/>
            </w:tcMar>
          </w:tcPr>
          <w:p w14:paraId="7731BE21" w14:textId="77777777" w:rsidR="00FD6E76" w:rsidRDefault="00A840BB">
            <w:pPr>
              <w:shd w:val="clear" w:color="auto" w:fill="FFFFFF"/>
              <w:rPr>
                <w:rFonts w:ascii="Calibri" w:eastAsia="Calibri" w:hAnsi="Calibri" w:cs="Calibri"/>
              </w:rPr>
            </w:pPr>
            <w:r>
              <w:rPr>
                <w:rFonts w:ascii="Calibri" w:eastAsia="Calibri" w:hAnsi="Calibri" w:cs="Calibri"/>
              </w:rPr>
              <w:t>I provide the patient an opportunity to decide the treatment they would like to receive</w:t>
            </w:r>
          </w:p>
        </w:tc>
        <w:tc>
          <w:tcPr>
            <w:tcW w:w="1680" w:type="dxa"/>
            <w:tcBorders>
              <w:top w:val="nil"/>
              <w:left w:val="nil"/>
              <w:bottom w:val="single" w:sz="5" w:space="0" w:color="000000"/>
              <w:right w:val="single" w:sz="5" w:space="0" w:color="000000"/>
            </w:tcBorders>
            <w:tcMar>
              <w:top w:w="0" w:type="dxa"/>
              <w:left w:w="100" w:type="dxa"/>
              <w:bottom w:w="0" w:type="dxa"/>
              <w:right w:w="100" w:type="dxa"/>
            </w:tcMar>
          </w:tcPr>
          <w:p w14:paraId="4A57FE09" w14:textId="77777777" w:rsidR="00FD6E76" w:rsidRDefault="00A840BB">
            <w:pPr>
              <w:shd w:val="clear" w:color="auto" w:fill="FFFFFF"/>
              <w:rPr>
                <w:rFonts w:ascii="Calibri" w:eastAsia="Calibri" w:hAnsi="Calibri" w:cs="Calibri"/>
              </w:rPr>
            </w:pPr>
            <w:r>
              <w:rPr>
                <w:rFonts w:ascii="Calibri" w:eastAsia="Calibri" w:hAnsi="Calibri" w:cs="Calibri"/>
              </w:rPr>
              <w:t xml:space="preserve">I provide </w:t>
            </w:r>
            <w:r>
              <w:rPr>
                <w:rFonts w:ascii="Calibri" w:eastAsia="Calibri" w:hAnsi="Calibri" w:cs="Calibri"/>
                <w:b/>
                <w:u w:val="single"/>
              </w:rPr>
              <w:t>my*</w:t>
            </w:r>
            <w:r>
              <w:rPr>
                <w:rFonts w:ascii="Calibri" w:eastAsia="Calibri" w:hAnsi="Calibri" w:cs="Calibri"/>
              </w:rPr>
              <w:t xml:space="preserve"> patients with an opportunity to decide the </w:t>
            </w:r>
            <w:r>
              <w:rPr>
                <w:rFonts w:ascii="Calibri" w:eastAsia="Calibri" w:hAnsi="Calibri" w:cs="Calibri"/>
                <w:b/>
                <w:u w:val="single"/>
              </w:rPr>
              <w:t>type of osteopathic care</w:t>
            </w:r>
            <w:r>
              <w:rPr>
                <w:rFonts w:ascii="Calibri" w:eastAsia="Calibri" w:hAnsi="Calibri" w:cs="Calibri"/>
              </w:rPr>
              <w:t xml:space="preserve"> they would like to receive</w:t>
            </w:r>
          </w:p>
        </w:tc>
        <w:tc>
          <w:tcPr>
            <w:tcW w:w="1935" w:type="dxa"/>
            <w:tcBorders>
              <w:top w:val="nil"/>
              <w:left w:val="nil"/>
              <w:bottom w:val="single" w:sz="5" w:space="0" w:color="000000"/>
              <w:right w:val="single" w:sz="5" w:space="0" w:color="000000"/>
            </w:tcBorders>
            <w:tcMar>
              <w:top w:w="0" w:type="dxa"/>
              <w:left w:w="100" w:type="dxa"/>
              <w:bottom w:w="0" w:type="dxa"/>
              <w:right w:w="100" w:type="dxa"/>
            </w:tcMar>
          </w:tcPr>
          <w:p w14:paraId="2CB97776" w14:textId="77777777" w:rsidR="00FD6E76" w:rsidRDefault="00A840BB">
            <w:pPr>
              <w:shd w:val="clear" w:color="auto" w:fill="FFFFFF"/>
              <w:rPr>
                <w:rFonts w:ascii="Calibri" w:eastAsia="Calibri" w:hAnsi="Calibri" w:cs="Calibri"/>
              </w:rPr>
            </w:pPr>
            <w:r>
              <w:rPr>
                <w:rFonts w:ascii="Calibri" w:eastAsia="Calibri" w:hAnsi="Calibri" w:cs="Calibri"/>
              </w:rPr>
              <w:t>Adding the term ‘type of osteopathic care’ captures treatment/management options as a package of care/complex intervention.</w:t>
            </w:r>
          </w:p>
          <w:p w14:paraId="6228BBB0" w14:textId="77777777" w:rsidR="00FD6E76" w:rsidRDefault="00A840BB">
            <w:pPr>
              <w:shd w:val="clear" w:color="auto" w:fill="FFFFFF"/>
              <w:rPr>
                <w:rFonts w:ascii="Calibri" w:eastAsia="Calibri" w:hAnsi="Calibri" w:cs="Calibri"/>
              </w:rPr>
            </w:pPr>
            <w:r>
              <w:rPr>
                <w:rFonts w:ascii="Calibri" w:eastAsia="Calibri" w:hAnsi="Calibri" w:cs="Calibri"/>
              </w:rPr>
              <w:lastRenderedPageBreak/>
              <w:t xml:space="preserve"> </w:t>
            </w:r>
          </w:p>
        </w:tc>
        <w:tc>
          <w:tcPr>
            <w:tcW w:w="1845" w:type="dxa"/>
            <w:tcBorders>
              <w:top w:val="nil"/>
              <w:left w:val="nil"/>
              <w:bottom w:val="single" w:sz="5" w:space="0" w:color="000000"/>
              <w:right w:val="single" w:sz="5" w:space="0" w:color="000000"/>
            </w:tcBorders>
            <w:tcMar>
              <w:top w:w="0" w:type="dxa"/>
              <w:left w:w="100" w:type="dxa"/>
              <w:bottom w:w="0" w:type="dxa"/>
              <w:right w:w="100" w:type="dxa"/>
            </w:tcMar>
          </w:tcPr>
          <w:p w14:paraId="4FB53643" w14:textId="77777777" w:rsidR="00FD6E76" w:rsidRDefault="00A840BB">
            <w:pPr>
              <w:shd w:val="clear" w:color="auto" w:fill="FFFFFF"/>
              <w:rPr>
                <w:rFonts w:ascii="Calibri" w:eastAsia="Calibri" w:hAnsi="Calibri" w:cs="Calibri"/>
                <w:i/>
              </w:rPr>
            </w:pPr>
            <w:r>
              <w:rPr>
                <w:rFonts w:ascii="Calibri" w:eastAsia="Calibri" w:hAnsi="Calibri" w:cs="Calibri"/>
                <w:i/>
              </w:rPr>
              <w:lastRenderedPageBreak/>
              <w:t xml:space="preserve">I'd say that the treatment options </w:t>
            </w:r>
            <w:proofErr w:type="gramStart"/>
            <w:r>
              <w:rPr>
                <w:rFonts w:ascii="Calibri" w:eastAsia="Calibri" w:hAnsi="Calibri" w:cs="Calibri"/>
                <w:i/>
              </w:rPr>
              <w:t>is</w:t>
            </w:r>
            <w:proofErr w:type="gramEnd"/>
            <w:r>
              <w:rPr>
                <w:rFonts w:ascii="Calibri" w:eastAsia="Calibri" w:hAnsi="Calibri" w:cs="Calibri"/>
                <w:i/>
              </w:rPr>
              <w:t xml:space="preserve"> quite a big bucket (P3)</w:t>
            </w:r>
          </w:p>
        </w:tc>
        <w:tc>
          <w:tcPr>
            <w:tcW w:w="1335" w:type="dxa"/>
            <w:tcBorders>
              <w:top w:val="nil"/>
              <w:left w:val="nil"/>
              <w:bottom w:val="single" w:sz="5" w:space="0" w:color="000000"/>
              <w:right w:val="single" w:sz="5" w:space="0" w:color="000000"/>
            </w:tcBorders>
            <w:tcMar>
              <w:top w:w="0" w:type="dxa"/>
              <w:left w:w="100" w:type="dxa"/>
              <w:bottom w:w="0" w:type="dxa"/>
              <w:right w:w="100" w:type="dxa"/>
            </w:tcMar>
          </w:tcPr>
          <w:p w14:paraId="75EF94AF" w14:textId="77777777" w:rsidR="00FD6E76" w:rsidRDefault="00A840BB">
            <w:pPr>
              <w:shd w:val="clear" w:color="auto" w:fill="FFFFFF"/>
              <w:rPr>
                <w:rFonts w:ascii="Calibri" w:eastAsia="Calibri" w:hAnsi="Calibri" w:cs="Calibri"/>
              </w:rPr>
            </w:pPr>
            <w:r>
              <w:rPr>
                <w:rFonts w:ascii="Calibri" w:eastAsia="Calibri" w:hAnsi="Calibri" w:cs="Calibri"/>
              </w:rPr>
              <w:t>9, 23, 27</w:t>
            </w:r>
          </w:p>
        </w:tc>
      </w:tr>
      <w:tr w:rsidR="00FD6E76" w14:paraId="19F958B2" w14:textId="77777777">
        <w:trPr>
          <w:trHeight w:val="600"/>
        </w:trPr>
        <w:tc>
          <w:tcPr>
            <w:tcW w:w="177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E3FE410" w14:textId="77777777" w:rsidR="00FD6E76" w:rsidRDefault="00A840BB">
            <w:pPr>
              <w:shd w:val="clear" w:color="auto" w:fill="FFFFFF"/>
              <w:rPr>
                <w:rFonts w:ascii="Calibri" w:eastAsia="Calibri" w:hAnsi="Calibri" w:cs="Calibri"/>
                <w:b/>
              </w:rPr>
            </w:pPr>
            <w:r>
              <w:rPr>
                <w:rFonts w:ascii="Calibri" w:eastAsia="Calibri" w:hAnsi="Calibri" w:cs="Calibri"/>
                <w:b/>
              </w:rPr>
              <w:t>Items where there were no changes</w:t>
            </w:r>
          </w:p>
        </w:tc>
        <w:tc>
          <w:tcPr>
            <w:tcW w:w="8910" w:type="dxa"/>
            <w:gridSpan w:val="5"/>
            <w:tcBorders>
              <w:top w:val="nil"/>
              <w:left w:val="nil"/>
              <w:bottom w:val="single" w:sz="5" w:space="0" w:color="000000"/>
              <w:right w:val="single" w:sz="5" w:space="0" w:color="000000"/>
            </w:tcBorders>
            <w:tcMar>
              <w:top w:w="0" w:type="dxa"/>
              <w:left w:w="100" w:type="dxa"/>
              <w:bottom w:w="0" w:type="dxa"/>
              <w:right w:w="100" w:type="dxa"/>
            </w:tcMar>
          </w:tcPr>
          <w:p w14:paraId="641CF874" w14:textId="77777777" w:rsidR="00FD6E76" w:rsidRDefault="00A840BB">
            <w:pPr>
              <w:shd w:val="clear" w:color="auto" w:fill="FFFFFF"/>
              <w:rPr>
                <w:rFonts w:ascii="Calibri" w:eastAsia="Calibri" w:hAnsi="Calibri" w:cs="Calibri"/>
              </w:rPr>
            </w:pPr>
            <w:r>
              <w:rPr>
                <w:rFonts w:ascii="Calibri" w:eastAsia="Calibri" w:hAnsi="Calibri" w:cs="Calibri"/>
              </w:rPr>
              <w:t>2, 8, 15, 18, 30, 34</w:t>
            </w:r>
          </w:p>
          <w:p w14:paraId="4674654A" w14:textId="77777777" w:rsidR="00FD6E76" w:rsidRDefault="00A840BB">
            <w:pPr>
              <w:shd w:val="clear" w:color="auto" w:fill="FFFFFF"/>
              <w:rPr>
                <w:rFonts w:ascii="Calibri" w:eastAsia="Calibri" w:hAnsi="Calibri" w:cs="Calibri"/>
                <w:i/>
              </w:rPr>
            </w:pPr>
            <w:r>
              <w:rPr>
                <w:rFonts w:ascii="Calibri" w:eastAsia="Calibri" w:hAnsi="Calibri" w:cs="Calibri"/>
                <w:i/>
              </w:rPr>
              <w:t xml:space="preserve"> </w:t>
            </w:r>
          </w:p>
          <w:p w14:paraId="7A5E97FA" w14:textId="77777777" w:rsidR="00FD6E76" w:rsidRDefault="00A840BB">
            <w:pPr>
              <w:shd w:val="clear" w:color="auto" w:fill="FFFFFF"/>
              <w:rPr>
                <w:rFonts w:ascii="Calibri" w:eastAsia="Calibri" w:hAnsi="Calibri" w:cs="Calibri"/>
                <w:i/>
              </w:rPr>
            </w:pPr>
            <w:r>
              <w:rPr>
                <w:rFonts w:ascii="Calibri" w:eastAsia="Calibri" w:hAnsi="Calibri" w:cs="Calibri"/>
                <w:i/>
              </w:rPr>
              <w:t xml:space="preserve"> </w:t>
            </w:r>
          </w:p>
        </w:tc>
      </w:tr>
    </w:tbl>
    <w:p w14:paraId="0DCC5658" w14:textId="77777777" w:rsidR="00FD6E76" w:rsidRDefault="00FD6E76">
      <w:pPr>
        <w:shd w:val="clear" w:color="auto" w:fill="FFFFFF"/>
        <w:spacing w:after="200"/>
        <w:jc w:val="both"/>
        <w:rPr>
          <w:rFonts w:ascii="Calibri" w:eastAsia="Calibri" w:hAnsi="Calibri" w:cs="Calibri"/>
          <w:i/>
        </w:rPr>
      </w:pPr>
    </w:p>
    <w:p w14:paraId="731931DA" w14:textId="77777777" w:rsidR="00FD6E76" w:rsidRDefault="00FD6E76">
      <w:pPr>
        <w:shd w:val="clear" w:color="auto" w:fill="FFFFFF"/>
        <w:spacing w:after="200"/>
        <w:jc w:val="both"/>
        <w:rPr>
          <w:rFonts w:ascii="Calibri" w:eastAsia="Calibri" w:hAnsi="Calibri" w:cs="Calibri"/>
          <w:i/>
        </w:rPr>
      </w:pPr>
    </w:p>
    <w:p w14:paraId="289A67C4" w14:textId="77777777" w:rsidR="00FD6E76" w:rsidRDefault="00A840BB">
      <w:pPr>
        <w:shd w:val="clear" w:color="auto" w:fill="FFFFFF"/>
        <w:spacing w:after="200" w:line="360" w:lineRule="auto"/>
        <w:jc w:val="both"/>
        <w:rPr>
          <w:rFonts w:ascii="Calibri" w:eastAsia="Calibri" w:hAnsi="Calibri" w:cs="Calibri"/>
          <w:i/>
        </w:rPr>
      </w:pPr>
      <w:r>
        <w:rPr>
          <w:rFonts w:ascii="Calibri" w:eastAsia="Calibri" w:hAnsi="Calibri" w:cs="Calibri"/>
          <w:i/>
        </w:rPr>
        <w:t xml:space="preserve">Problem 2. Possessive pronouns </w:t>
      </w:r>
    </w:p>
    <w:p w14:paraId="468B8F83" w14:textId="77777777" w:rsidR="00FD6E76" w:rsidRDefault="00A840BB">
      <w:pPr>
        <w:shd w:val="clear" w:color="auto" w:fill="FFFFFF"/>
        <w:spacing w:before="240" w:after="40" w:line="360" w:lineRule="auto"/>
        <w:jc w:val="both"/>
        <w:rPr>
          <w:rFonts w:ascii="Calibri" w:eastAsia="Calibri" w:hAnsi="Calibri" w:cs="Calibri"/>
        </w:rPr>
      </w:pPr>
      <w:r>
        <w:rPr>
          <w:rFonts w:ascii="Calibri" w:eastAsia="Calibri" w:hAnsi="Calibri" w:cs="Calibri"/>
          <w:highlight w:val="white"/>
        </w:rPr>
        <w:t xml:space="preserve">Related to the problem area of ‘patient’ was the use of possessive pronouns by participants throughout the interviews. It was observed that participants often referred to their practice and patients using the possessive pronoun 'my', despite the use of demonstrative pronouns (such as 'the patient') in the Osteo-TAQ. This pattern was identified during phases 1 and 2 of data analysis, leading to a decision in phase 3 to update all Osteo-TAQ items to incorporate possessive pronouns instead of demonstrative pronouns </w:t>
      </w:r>
      <w:r>
        <w:rPr>
          <w:rFonts w:ascii="Calibri" w:eastAsia="Calibri" w:hAnsi="Calibri" w:cs="Calibri"/>
        </w:rPr>
        <w:t>(items 1, 3-7, 9, 10-14, 16, 17, 19, 21-24, 26-28, 31-33, 35, 36) and is illustrated in Table 3.</w:t>
      </w:r>
    </w:p>
    <w:p w14:paraId="730D6F1A" w14:textId="77777777" w:rsidR="00FD6E76" w:rsidRDefault="00FD6E76">
      <w:pPr>
        <w:shd w:val="clear" w:color="auto" w:fill="FFFFFF"/>
        <w:spacing w:before="240" w:after="40" w:line="360" w:lineRule="auto"/>
        <w:jc w:val="both"/>
        <w:rPr>
          <w:rFonts w:ascii="Calibri" w:eastAsia="Calibri" w:hAnsi="Calibri" w:cs="Calibri"/>
        </w:rPr>
      </w:pPr>
    </w:p>
    <w:p w14:paraId="656C2278" w14:textId="77777777" w:rsidR="00FD6E76" w:rsidRDefault="00A840BB">
      <w:pPr>
        <w:shd w:val="clear" w:color="auto" w:fill="FFFFFF"/>
        <w:spacing w:after="200" w:line="360" w:lineRule="auto"/>
        <w:jc w:val="both"/>
        <w:rPr>
          <w:rFonts w:ascii="Calibri" w:eastAsia="Calibri" w:hAnsi="Calibri" w:cs="Calibri"/>
          <w:i/>
        </w:rPr>
      </w:pPr>
      <w:r>
        <w:rPr>
          <w:rFonts w:ascii="Calibri" w:eastAsia="Calibri" w:hAnsi="Calibri" w:cs="Calibri"/>
          <w:i/>
        </w:rPr>
        <w:t xml:space="preserve">Problem 3. Likert scale response option </w:t>
      </w:r>
    </w:p>
    <w:p w14:paraId="00733056" w14:textId="77777777" w:rsidR="00FD6E76" w:rsidRDefault="00A840BB">
      <w:pPr>
        <w:shd w:val="clear" w:color="auto" w:fill="FFFFFF"/>
        <w:spacing w:line="360" w:lineRule="auto"/>
        <w:jc w:val="both"/>
        <w:rPr>
          <w:rFonts w:ascii="Calibri" w:eastAsia="Calibri" w:hAnsi="Calibri" w:cs="Calibri"/>
        </w:rPr>
      </w:pPr>
      <w:r>
        <w:rPr>
          <w:rFonts w:ascii="Calibri" w:eastAsia="Calibri" w:hAnsi="Calibri" w:cs="Calibri"/>
        </w:rPr>
        <w:t>Participants generally found it easy to allocate their decision to one of the four response options (always, sometimes, rarely, never). However, one problem that was encountered was the response option of ‘sometimes’ and some participants suggested that this terminology was ambiguous and failed to differentiate sufficiently between ‘sometimes’ and ‘rarely’, for example:</w:t>
      </w:r>
    </w:p>
    <w:p w14:paraId="5E120571" w14:textId="77777777" w:rsidR="00FD6E76" w:rsidRDefault="00FD6E76">
      <w:pPr>
        <w:shd w:val="clear" w:color="auto" w:fill="FFFFFF"/>
        <w:jc w:val="both"/>
        <w:rPr>
          <w:rFonts w:ascii="Calibri" w:eastAsia="Calibri" w:hAnsi="Calibri" w:cs="Calibri"/>
        </w:rPr>
      </w:pPr>
    </w:p>
    <w:p w14:paraId="7467B4B6" w14:textId="77777777" w:rsidR="00FD6E76" w:rsidRDefault="00A840BB">
      <w:pPr>
        <w:shd w:val="clear" w:color="auto" w:fill="FFFFFF"/>
        <w:ind w:left="1440" w:right="720"/>
        <w:jc w:val="both"/>
        <w:rPr>
          <w:rFonts w:ascii="Calibri" w:eastAsia="Calibri" w:hAnsi="Calibri" w:cs="Calibri"/>
          <w:i/>
        </w:rPr>
      </w:pPr>
      <w:r>
        <w:rPr>
          <w:rFonts w:ascii="Calibri" w:eastAsia="Calibri" w:hAnsi="Calibri" w:cs="Calibri"/>
          <w:i/>
        </w:rPr>
        <w:t xml:space="preserve">I think ‘sometimes’ is interpreted as less. You think of it as a negative frequency rather than closer to really than it is to always does that make sense? </w:t>
      </w:r>
      <w:proofErr w:type="gramStart"/>
      <w:r>
        <w:rPr>
          <w:rFonts w:ascii="Calibri" w:eastAsia="Calibri" w:hAnsi="Calibri" w:cs="Calibri"/>
          <w:i/>
        </w:rPr>
        <w:t>So</w:t>
      </w:r>
      <w:proofErr w:type="gramEnd"/>
      <w:r>
        <w:rPr>
          <w:rFonts w:ascii="Calibri" w:eastAsia="Calibri" w:hAnsi="Calibri" w:cs="Calibri"/>
          <w:i/>
        </w:rPr>
        <w:t xml:space="preserve"> it's almost like I feel invalidated by choosing sometimes because it's like, why I do it most of the time (P4)</w:t>
      </w:r>
    </w:p>
    <w:p w14:paraId="498CAEAA" w14:textId="77777777" w:rsidR="00FD6E76" w:rsidRDefault="00FD6E76">
      <w:pPr>
        <w:shd w:val="clear" w:color="auto" w:fill="FFFFFF"/>
        <w:ind w:left="1440" w:right="720"/>
        <w:jc w:val="both"/>
        <w:rPr>
          <w:rFonts w:ascii="Calibri" w:eastAsia="Calibri" w:hAnsi="Calibri" w:cs="Calibri"/>
          <w:i/>
        </w:rPr>
      </w:pPr>
    </w:p>
    <w:p w14:paraId="35159609" w14:textId="77777777" w:rsidR="00FD6E76" w:rsidRDefault="00A840BB">
      <w:pPr>
        <w:shd w:val="clear" w:color="auto" w:fill="FFFFFF"/>
        <w:ind w:left="1440" w:right="720"/>
        <w:jc w:val="both"/>
        <w:rPr>
          <w:rFonts w:ascii="Calibri" w:eastAsia="Calibri" w:hAnsi="Calibri" w:cs="Calibri"/>
          <w:i/>
        </w:rPr>
      </w:pPr>
      <w:r>
        <w:rPr>
          <w:rFonts w:ascii="Calibri" w:eastAsia="Calibri" w:hAnsi="Calibri" w:cs="Calibri"/>
          <w:i/>
        </w:rPr>
        <w:t>‘Sometimes’ isn't a strong enough response, I’d prefer ‘often’ (P2)</w:t>
      </w:r>
    </w:p>
    <w:p w14:paraId="1829AECA" w14:textId="77777777" w:rsidR="00FD6E76" w:rsidRDefault="00A840BB">
      <w:pPr>
        <w:shd w:val="clear" w:color="auto" w:fill="FFFFFF"/>
        <w:jc w:val="both"/>
        <w:rPr>
          <w:rFonts w:ascii="Calibri" w:eastAsia="Calibri" w:hAnsi="Calibri" w:cs="Calibri"/>
          <w:i/>
        </w:rPr>
      </w:pPr>
      <w:r>
        <w:rPr>
          <w:rFonts w:ascii="Calibri" w:eastAsia="Calibri" w:hAnsi="Calibri" w:cs="Calibri"/>
          <w:i/>
        </w:rPr>
        <w:t xml:space="preserve"> </w:t>
      </w:r>
    </w:p>
    <w:p w14:paraId="122334DB" w14:textId="77777777" w:rsidR="00FD6E76" w:rsidRDefault="00A840BB">
      <w:pPr>
        <w:shd w:val="clear" w:color="auto" w:fill="FFFFFF"/>
        <w:spacing w:line="360" w:lineRule="auto"/>
        <w:jc w:val="both"/>
        <w:rPr>
          <w:rFonts w:ascii="Calibri" w:eastAsia="Calibri" w:hAnsi="Calibri" w:cs="Calibri"/>
        </w:rPr>
      </w:pPr>
      <w:r>
        <w:rPr>
          <w:rFonts w:ascii="Calibri" w:eastAsia="Calibri" w:hAnsi="Calibri" w:cs="Calibri"/>
        </w:rPr>
        <w:lastRenderedPageBreak/>
        <w:t>In light of this, the research team discussed this problem in round 3 of data analysis and it was agreed to replace the response option of ‘sometimes’ to ‘often’.</w:t>
      </w:r>
    </w:p>
    <w:p w14:paraId="6BAF753F" w14:textId="77777777" w:rsidR="00FD6E76" w:rsidRDefault="00FD6E76">
      <w:pPr>
        <w:rPr>
          <w:rFonts w:ascii="Calibri" w:eastAsia="Calibri" w:hAnsi="Calibri" w:cs="Calibri"/>
          <w:b/>
        </w:rPr>
      </w:pPr>
    </w:p>
    <w:p w14:paraId="4531DADC" w14:textId="77777777" w:rsidR="00FD6E76" w:rsidRDefault="00FD6E76">
      <w:pPr>
        <w:rPr>
          <w:rFonts w:ascii="Calibri" w:eastAsia="Calibri" w:hAnsi="Calibri" w:cs="Calibri"/>
          <w:b/>
        </w:rPr>
      </w:pPr>
    </w:p>
    <w:p w14:paraId="24A61632" w14:textId="77777777" w:rsidR="00FD6E76" w:rsidRDefault="00A840BB">
      <w:pPr>
        <w:spacing w:line="360" w:lineRule="auto"/>
        <w:rPr>
          <w:rFonts w:ascii="Calibri" w:eastAsia="Calibri" w:hAnsi="Calibri" w:cs="Calibri"/>
          <w:b/>
        </w:rPr>
      </w:pPr>
      <w:r>
        <w:rPr>
          <w:rFonts w:ascii="Calibri" w:eastAsia="Calibri" w:hAnsi="Calibri" w:cs="Calibri"/>
          <w:b/>
        </w:rPr>
        <w:t>Discussion</w:t>
      </w:r>
    </w:p>
    <w:p w14:paraId="12AE41B3" w14:textId="77777777" w:rsidR="00FD6E76" w:rsidRDefault="00FD6E76">
      <w:pPr>
        <w:spacing w:line="360" w:lineRule="auto"/>
        <w:rPr>
          <w:sz w:val="21"/>
          <w:szCs w:val="21"/>
          <w:highlight w:val="white"/>
        </w:rPr>
      </w:pPr>
    </w:p>
    <w:p w14:paraId="421B3915" w14:textId="77777777" w:rsidR="00FD6E76" w:rsidRDefault="00A840BB">
      <w:pPr>
        <w:spacing w:line="360" w:lineRule="auto"/>
        <w:rPr>
          <w:rFonts w:ascii="Calibri" w:eastAsia="Calibri" w:hAnsi="Calibri" w:cs="Calibri"/>
          <w:highlight w:val="white"/>
        </w:rPr>
      </w:pPr>
      <w:r>
        <w:rPr>
          <w:rFonts w:ascii="Calibri" w:eastAsia="Calibri" w:hAnsi="Calibri" w:cs="Calibri"/>
          <w:highlight w:val="white"/>
        </w:rPr>
        <w:t xml:space="preserve">This study aimed to evaluate and enhance the quality of the Osteo-TAQ questionnaire, using a pilot sample of registered Australian osteopaths. Although participants in the study identified some problem areas, the subtle nature of these issues indicates that the Osteo-TAQ questionnaire, which was developed from qualitative research conducted in the UK </w:t>
      </w:r>
      <w:hyperlink r:id="rId39">
        <w:r>
          <w:rPr>
            <w:rFonts w:ascii="Calibri" w:eastAsia="Calibri" w:hAnsi="Calibri" w:cs="Calibri"/>
            <w:color w:val="000000"/>
            <w:highlight w:val="white"/>
          </w:rPr>
          <w:t>(O. P. Thomson, Petty, and Moore 2014b, 2014a)</w:t>
        </w:r>
      </w:hyperlink>
      <w:r>
        <w:rPr>
          <w:rFonts w:ascii="Calibri" w:eastAsia="Calibri" w:hAnsi="Calibri" w:cs="Calibri"/>
          <w:highlight w:val="white"/>
        </w:rPr>
        <w:t xml:space="preserve"> is contemporary and resonates with practising osteopaths in Australia. </w:t>
      </w:r>
    </w:p>
    <w:p w14:paraId="2969B84A" w14:textId="77777777" w:rsidR="00FD6E76" w:rsidRDefault="00FD6E76">
      <w:pPr>
        <w:spacing w:line="360" w:lineRule="auto"/>
        <w:rPr>
          <w:rFonts w:ascii="Calibri" w:eastAsia="Calibri" w:hAnsi="Calibri" w:cs="Calibri"/>
          <w:highlight w:val="white"/>
        </w:rPr>
      </w:pPr>
    </w:p>
    <w:p w14:paraId="57CFCAAB" w14:textId="77777777" w:rsidR="00FD6E76" w:rsidRDefault="00A840BB">
      <w:pPr>
        <w:spacing w:line="360" w:lineRule="auto"/>
        <w:jc w:val="both"/>
        <w:rPr>
          <w:rFonts w:ascii="Calibri" w:eastAsia="Calibri" w:hAnsi="Calibri" w:cs="Calibri"/>
          <w:highlight w:val="white"/>
        </w:rPr>
      </w:pPr>
      <w:r>
        <w:rPr>
          <w:rFonts w:ascii="Calibri" w:eastAsia="Calibri" w:hAnsi="Calibri" w:cs="Calibri"/>
          <w:highlight w:val="white"/>
        </w:rPr>
        <w:t xml:space="preserve">After evaluating the Osteo-TAQ, we discovered several problem areas that required attention. Analysis revealed that participants favoured the use of possessive pronouns such as ‘my’ practice and ‘my’ patient while referring to different aspects of their practice. To address this issue, we made certain adaptations to the Osteo-TAQ during the third round of our group analysis. By utilising possessive pronouns instead of demonstrative pronouns such as ‘the’ patient, it is anticipated that a stronger sense of ownership and connection will be created, which significantly increases respondents’ engagement in locating the question to their own practice reality and providing more accurate data  </w:t>
      </w:r>
      <w:hyperlink r:id="rId40">
        <w:r>
          <w:rPr>
            <w:rFonts w:ascii="Calibri" w:eastAsia="Calibri" w:hAnsi="Calibri" w:cs="Calibri"/>
            <w:color w:val="000000"/>
            <w:highlight w:val="white"/>
          </w:rPr>
          <w:t xml:space="preserve">(Jones, Baxter, and </w:t>
        </w:r>
        <w:proofErr w:type="spellStart"/>
        <w:r>
          <w:rPr>
            <w:rFonts w:ascii="Calibri" w:eastAsia="Calibri" w:hAnsi="Calibri" w:cs="Calibri"/>
            <w:color w:val="000000"/>
            <w:highlight w:val="white"/>
          </w:rPr>
          <w:t>Khanduja</w:t>
        </w:r>
        <w:proofErr w:type="spellEnd"/>
        <w:r>
          <w:rPr>
            <w:rFonts w:ascii="Calibri" w:eastAsia="Calibri" w:hAnsi="Calibri" w:cs="Calibri"/>
            <w:color w:val="000000"/>
            <w:highlight w:val="white"/>
          </w:rPr>
          <w:t xml:space="preserve"> 2013)</w:t>
        </w:r>
      </w:hyperlink>
      <w:r>
        <w:rPr>
          <w:rFonts w:ascii="Calibri" w:eastAsia="Calibri" w:hAnsi="Calibri" w:cs="Calibri"/>
          <w:highlight w:val="white"/>
        </w:rPr>
        <w:t>.</w:t>
      </w:r>
    </w:p>
    <w:p w14:paraId="599EEF84" w14:textId="77777777" w:rsidR="00FD6E76" w:rsidRDefault="00FD6E76">
      <w:pPr>
        <w:spacing w:line="360" w:lineRule="auto"/>
        <w:jc w:val="both"/>
        <w:rPr>
          <w:rFonts w:ascii="Calibri" w:eastAsia="Calibri" w:hAnsi="Calibri" w:cs="Calibri"/>
        </w:rPr>
      </w:pPr>
    </w:p>
    <w:p w14:paraId="41577C49" w14:textId="77777777" w:rsidR="00FD6E76" w:rsidRDefault="00A840BB">
      <w:pPr>
        <w:spacing w:line="360" w:lineRule="auto"/>
        <w:jc w:val="both"/>
        <w:rPr>
          <w:rFonts w:ascii="Calibri" w:eastAsia="Calibri" w:hAnsi="Calibri" w:cs="Calibri"/>
        </w:rPr>
      </w:pPr>
      <w:r>
        <w:rPr>
          <w:rFonts w:ascii="Calibri" w:eastAsia="Calibri" w:hAnsi="Calibri" w:cs="Calibri"/>
        </w:rPr>
        <w:t xml:space="preserve">Additionally, the findings revealed potential problem areas in relation to the patient, </w:t>
      </w:r>
      <w:proofErr w:type="gramStart"/>
      <w:r>
        <w:rPr>
          <w:rFonts w:ascii="Calibri" w:eastAsia="Calibri" w:hAnsi="Calibri" w:cs="Calibri"/>
        </w:rPr>
        <w:t>examination,  treatment</w:t>
      </w:r>
      <w:proofErr w:type="gramEnd"/>
      <w:r>
        <w:rPr>
          <w:rFonts w:ascii="Calibri" w:eastAsia="Calibri" w:hAnsi="Calibri" w:cs="Calibri"/>
        </w:rPr>
        <w:t xml:space="preserve"> and management, suggesting osteopaths in Australia  </w:t>
      </w:r>
      <w:r>
        <w:rPr>
          <w:rFonts w:ascii="Calibri" w:eastAsia="Calibri" w:hAnsi="Calibri" w:cs="Calibri"/>
          <w:highlight w:val="white"/>
        </w:rPr>
        <w:t xml:space="preserve">may have a nuanced perspective on these aspects of their practice. In particular, the participants often made a distinction between ‘treatment’ and ‘management’, with the former referring to hands-on manual therapy and the latter encompassing other therapeutic options like exercise and mental health support. </w:t>
      </w:r>
      <w:r>
        <w:rPr>
          <w:rFonts w:ascii="Calibri" w:eastAsia="Calibri" w:hAnsi="Calibri" w:cs="Calibri"/>
        </w:rPr>
        <w:t xml:space="preserve">Current surveys which describe osteopathic practice in Australia </w:t>
      </w:r>
      <w:hyperlink r:id="rId41">
        <w:r>
          <w:rPr>
            <w:rFonts w:ascii="Calibri" w:eastAsia="Calibri" w:hAnsi="Calibri" w:cs="Calibri"/>
            <w:color w:val="000000"/>
          </w:rPr>
          <w:t>(Adams et al. 2018)</w:t>
        </w:r>
      </w:hyperlink>
      <w:r>
        <w:rPr>
          <w:rFonts w:ascii="Calibri" w:eastAsia="Calibri" w:hAnsi="Calibri" w:cs="Calibri"/>
        </w:rPr>
        <w:t xml:space="preserve"> and the UK </w:t>
      </w:r>
      <w:hyperlink r:id="rId42">
        <w:r>
          <w:rPr>
            <w:rFonts w:ascii="Calibri" w:eastAsia="Calibri" w:hAnsi="Calibri" w:cs="Calibri"/>
            <w:color w:val="000000"/>
          </w:rPr>
          <w:t>(Plunkett, Fawkes, and Carnes 2022)</w:t>
        </w:r>
      </w:hyperlink>
      <w:r>
        <w:rPr>
          <w:rFonts w:ascii="Calibri" w:eastAsia="Calibri" w:hAnsi="Calibri" w:cs="Calibri"/>
        </w:rPr>
        <w:t xml:space="preserve"> make similar distinctions between hands-on treatment techniques and other longer term management and supportive strategies. It might be that the separation of ‘treatment’ from ‘management’ reflects the primary role that hands-on treatment has in osteopathic practice in Australia and globally </w:t>
      </w:r>
      <w:hyperlink r:id="rId43">
        <w:r>
          <w:rPr>
            <w:rFonts w:ascii="Calibri" w:eastAsia="Calibri" w:hAnsi="Calibri" w:cs="Calibri"/>
            <w:color w:val="000000"/>
          </w:rPr>
          <w:t>(Ellwood and Carnes 2021)</w:t>
        </w:r>
      </w:hyperlink>
      <w:r>
        <w:rPr>
          <w:rFonts w:ascii="Calibri" w:eastAsia="Calibri" w:hAnsi="Calibri" w:cs="Calibri"/>
        </w:rPr>
        <w:t xml:space="preserve">, and how for some osteopaths hands-on care is an important if not defining feature of osteopathy </w:t>
      </w:r>
      <w:hyperlink r:id="rId44">
        <w:r>
          <w:rPr>
            <w:rFonts w:ascii="Calibri" w:eastAsia="Calibri" w:hAnsi="Calibri" w:cs="Calibri"/>
            <w:color w:val="000000"/>
          </w:rPr>
          <w:t>(Grace, Fleischmann, and Vaughan 2021)</w:t>
        </w:r>
      </w:hyperlink>
      <w:r>
        <w:rPr>
          <w:rFonts w:ascii="Calibri" w:eastAsia="Calibri" w:hAnsi="Calibri" w:cs="Calibri"/>
        </w:rPr>
        <w:t xml:space="preserve">. However, further research should explore </w:t>
      </w:r>
      <w:r>
        <w:rPr>
          <w:rFonts w:ascii="Calibri" w:eastAsia="Calibri" w:hAnsi="Calibri" w:cs="Calibri"/>
        </w:rPr>
        <w:lastRenderedPageBreak/>
        <w:t>specifically osteopaths' conceptions of treatment and management and the assumed meanings and impacts of such discourse.</w:t>
      </w:r>
    </w:p>
    <w:p w14:paraId="5447D47C" w14:textId="77777777" w:rsidR="00FD6E76" w:rsidRDefault="00FD6E76">
      <w:pPr>
        <w:spacing w:line="360" w:lineRule="auto"/>
        <w:rPr>
          <w:rFonts w:ascii="Calibri" w:eastAsia="Calibri" w:hAnsi="Calibri" w:cs="Calibri"/>
        </w:rPr>
      </w:pPr>
    </w:p>
    <w:p w14:paraId="62AF7C53" w14:textId="77777777" w:rsidR="00FD6E76" w:rsidRDefault="00A840BB">
      <w:pPr>
        <w:spacing w:line="360" w:lineRule="auto"/>
        <w:jc w:val="both"/>
        <w:rPr>
          <w:rFonts w:ascii="Calibri" w:eastAsia="Calibri" w:hAnsi="Calibri" w:cs="Calibri"/>
        </w:rPr>
      </w:pPr>
      <w:r>
        <w:rPr>
          <w:rFonts w:ascii="Calibri" w:eastAsia="Calibri" w:hAnsi="Calibri" w:cs="Calibri"/>
        </w:rPr>
        <w:t xml:space="preserve">A finding from the analysis of the cognitive interviews was the 'distance' between the response options.  In the current work, it appears that the participants had trouble distinguishing when 'sometimes' should be selected and preferred a more definitive option. The original Osteo-TAQ used ‘sometimes’ as a response option on the Likert scale, and the amended version changed this response option to ‘often’ to be consistent with the items, that is the frequency at which a behaviour was exhibited. The literature on </w:t>
      </w:r>
      <w:proofErr w:type="spellStart"/>
      <w:r>
        <w:rPr>
          <w:rFonts w:ascii="Calibri" w:eastAsia="Calibri" w:hAnsi="Calibri" w:cs="Calibri"/>
        </w:rPr>
        <w:t>likert</w:t>
      </w:r>
      <w:proofErr w:type="spellEnd"/>
      <w:r>
        <w:rPr>
          <w:rFonts w:ascii="Calibri" w:eastAsia="Calibri" w:hAnsi="Calibri" w:cs="Calibri"/>
        </w:rPr>
        <w:t xml:space="preserve"> frequency scales is limited, but there is a suggestion that the response option of ‘often’ may allow for participants to provide more precise data in relation to a specific behaviour, such as those measured within the Osteo-TAQ </w:t>
      </w:r>
      <w:hyperlink r:id="rId45">
        <w:r>
          <w:rPr>
            <w:rFonts w:ascii="Calibri" w:eastAsia="Calibri" w:hAnsi="Calibri" w:cs="Calibri"/>
            <w:color w:val="000000"/>
          </w:rPr>
          <w:t>(</w:t>
        </w:r>
        <w:proofErr w:type="spellStart"/>
        <w:r>
          <w:rPr>
            <w:rFonts w:ascii="Calibri" w:eastAsia="Calibri" w:hAnsi="Calibri" w:cs="Calibri"/>
            <w:color w:val="000000"/>
          </w:rPr>
          <w:t>Bocklisch</w:t>
        </w:r>
        <w:proofErr w:type="spellEnd"/>
        <w:r>
          <w:rPr>
            <w:rFonts w:ascii="Calibri" w:eastAsia="Calibri" w:hAnsi="Calibri" w:cs="Calibri"/>
            <w:color w:val="000000"/>
          </w:rPr>
          <w:t xml:space="preserve">, </w:t>
        </w:r>
        <w:proofErr w:type="spellStart"/>
        <w:r>
          <w:rPr>
            <w:rFonts w:ascii="Calibri" w:eastAsia="Calibri" w:hAnsi="Calibri" w:cs="Calibri"/>
            <w:color w:val="000000"/>
          </w:rPr>
          <w:t>Bocklisch</w:t>
        </w:r>
        <w:proofErr w:type="spellEnd"/>
        <w:r>
          <w:rPr>
            <w:rFonts w:ascii="Calibri" w:eastAsia="Calibri" w:hAnsi="Calibri" w:cs="Calibri"/>
            <w:color w:val="000000"/>
          </w:rPr>
          <w:t xml:space="preserve">, and </w:t>
        </w:r>
        <w:proofErr w:type="spellStart"/>
        <w:r>
          <w:rPr>
            <w:rFonts w:ascii="Calibri" w:eastAsia="Calibri" w:hAnsi="Calibri" w:cs="Calibri"/>
            <w:color w:val="000000"/>
          </w:rPr>
          <w:t>Krems</w:t>
        </w:r>
        <w:proofErr w:type="spellEnd"/>
        <w:r>
          <w:rPr>
            <w:rFonts w:ascii="Calibri" w:eastAsia="Calibri" w:hAnsi="Calibri" w:cs="Calibri"/>
            <w:color w:val="000000"/>
          </w:rPr>
          <w:t xml:space="preserve"> 2012)</w:t>
        </w:r>
      </w:hyperlink>
      <w:r>
        <w:rPr>
          <w:rFonts w:ascii="Calibri" w:eastAsia="Calibri" w:hAnsi="Calibri" w:cs="Calibri"/>
        </w:rPr>
        <w:t xml:space="preserve"> . A response value of ‘often’ addresses any ambiguity and may help the Osteo-TAQ distinguish between respondents who engage in a particular behaviour or decision-making approach from those that don’t </w:t>
      </w:r>
      <w:hyperlink r:id="rId46">
        <w:r>
          <w:rPr>
            <w:rFonts w:ascii="Calibri" w:eastAsia="Calibri" w:hAnsi="Calibri" w:cs="Calibri"/>
            <w:color w:val="000000"/>
          </w:rPr>
          <w:t>(</w:t>
        </w:r>
        <w:proofErr w:type="spellStart"/>
        <w:r>
          <w:rPr>
            <w:rFonts w:ascii="Calibri" w:eastAsia="Calibri" w:hAnsi="Calibri" w:cs="Calibri"/>
            <w:color w:val="000000"/>
          </w:rPr>
          <w:t>Bocklisch</w:t>
        </w:r>
        <w:proofErr w:type="spellEnd"/>
        <w:r>
          <w:rPr>
            <w:rFonts w:ascii="Calibri" w:eastAsia="Calibri" w:hAnsi="Calibri" w:cs="Calibri"/>
            <w:color w:val="000000"/>
          </w:rPr>
          <w:t xml:space="preserve">, </w:t>
        </w:r>
        <w:proofErr w:type="spellStart"/>
        <w:r>
          <w:rPr>
            <w:rFonts w:ascii="Calibri" w:eastAsia="Calibri" w:hAnsi="Calibri" w:cs="Calibri"/>
            <w:color w:val="000000"/>
          </w:rPr>
          <w:t>Bocklisch</w:t>
        </w:r>
        <w:proofErr w:type="spellEnd"/>
        <w:r>
          <w:rPr>
            <w:rFonts w:ascii="Calibri" w:eastAsia="Calibri" w:hAnsi="Calibri" w:cs="Calibri"/>
            <w:color w:val="000000"/>
          </w:rPr>
          <w:t xml:space="preserve">, and </w:t>
        </w:r>
        <w:proofErr w:type="spellStart"/>
        <w:r>
          <w:rPr>
            <w:rFonts w:ascii="Calibri" w:eastAsia="Calibri" w:hAnsi="Calibri" w:cs="Calibri"/>
            <w:color w:val="000000"/>
          </w:rPr>
          <w:t>Krems</w:t>
        </w:r>
        <w:proofErr w:type="spellEnd"/>
        <w:r>
          <w:rPr>
            <w:rFonts w:ascii="Calibri" w:eastAsia="Calibri" w:hAnsi="Calibri" w:cs="Calibri"/>
            <w:color w:val="000000"/>
          </w:rPr>
          <w:t xml:space="preserve"> 2012)</w:t>
        </w:r>
      </w:hyperlink>
      <w:r>
        <w:rPr>
          <w:rFonts w:ascii="Calibri" w:eastAsia="Calibri" w:hAnsi="Calibri" w:cs="Calibri"/>
        </w:rPr>
        <w:t xml:space="preserve">. </w:t>
      </w:r>
    </w:p>
    <w:p w14:paraId="01416FD9" w14:textId="77777777" w:rsidR="00FD6E76" w:rsidRDefault="00FD6E76">
      <w:pPr>
        <w:spacing w:line="360" w:lineRule="auto"/>
        <w:rPr>
          <w:rFonts w:ascii="Calibri" w:eastAsia="Calibri" w:hAnsi="Calibri" w:cs="Calibri"/>
        </w:rPr>
      </w:pPr>
    </w:p>
    <w:p w14:paraId="466C7654" w14:textId="77777777" w:rsidR="00FD6E76" w:rsidRDefault="00FD6E76">
      <w:pPr>
        <w:spacing w:line="360" w:lineRule="auto"/>
        <w:rPr>
          <w:rFonts w:ascii="Calibri" w:eastAsia="Calibri" w:hAnsi="Calibri" w:cs="Calibri"/>
        </w:rPr>
      </w:pPr>
    </w:p>
    <w:p w14:paraId="4A044B95" w14:textId="77777777" w:rsidR="00FD6E76" w:rsidRDefault="00A840BB">
      <w:pPr>
        <w:spacing w:line="360" w:lineRule="auto"/>
        <w:rPr>
          <w:rFonts w:ascii="Calibri" w:eastAsia="Calibri" w:hAnsi="Calibri" w:cs="Calibri"/>
        </w:rPr>
      </w:pPr>
      <w:r>
        <w:rPr>
          <w:rFonts w:ascii="Calibri" w:eastAsia="Calibri" w:hAnsi="Calibri" w:cs="Calibri"/>
          <w:i/>
        </w:rPr>
        <w:t>Strengths and limitations</w:t>
      </w:r>
      <w:r>
        <w:rPr>
          <w:rFonts w:ascii="Calibri" w:eastAsia="Calibri" w:hAnsi="Calibri" w:cs="Calibri"/>
        </w:rPr>
        <w:t xml:space="preserve"> </w:t>
      </w:r>
    </w:p>
    <w:p w14:paraId="21D47AFB" w14:textId="77777777" w:rsidR="00FD6E76" w:rsidRDefault="00A840BB">
      <w:pPr>
        <w:spacing w:line="360" w:lineRule="auto"/>
        <w:jc w:val="both"/>
        <w:rPr>
          <w:rFonts w:ascii="Calibri" w:eastAsia="Calibri" w:hAnsi="Calibri" w:cs="Calibri"/>
          <w:highlight w:val="white"/>
        </w:rPr>
      </w:pPr>
      <w:r>
        <w:rPr>
          <w:rFonts w:ascii="Calibri" w:eastAsia="Calibri" w:hAnsi="Calibri" w:cs="Calibri"/>
        </w:rPr>
        <w:t xml:space="preserve">There are a number of strengths and limitations of this study that warrant acknowledgment and reflection. Firstly, a relatively </w:t>
      </w:r>
      <w:proofErr w:type="gramStart"/>
      <w:r>
        <w:rPr>
          <w:rFonts w:ascii="Calibri" w:eastAsia="Calibri" w:hAnsi="Calibri" w:cs="Calibri"/>
        </w:rPr>
        <w:t>small  sample</w:t>
      </w:r>
      <w:proofErr w:type="gramEnd"/>
      <w:r>
        <w:rPr>
          <w:rFonts w:ascii="Calibri" w:eastAsia="Calibri" w:hAnsi="Calibri" w:cs="Calibri"/>
        </w:rPr>
        <w:t xml:space="preserve"> of osteopaths took part in this cognitive interview study. </w:t>
      </w:r>
      <w:r>
        <w:rPr>
          <w:rFonts w:ascii="Calibri" w:eastAsia="Calibri" w:hAnsi="Calibri" w:cs="Calibri"/>
          <w:highlight w:val="white"/>
        </w:rPr>
        <w:t xml:space="preserve">Despite this small sample size (n=6), the study is still considered acceptable in cognitive interviewing methods when the </w:t>
      </w:r>
      <w:proofErr w:type="spellStart"/>
      <w:r>
        <w:rPr>
          <w:rFonts w:ascii="Calibri" w:eastAsia="Calibri" w:hAnsi="Calibri" w:cs="Calibri"/>
          <w:highlight w:val="white"/>
        </w:rPr>
        <w:t>pretest</w:t>
      </w:r>
      <w:proofErr w:type="spellEnd"/>
      <w:r>
        <w:rPr>
          <w:rFonts w:ascii="Calibri" w:eastAsia="Calibri" w:hAnsi="Calibri" w:cs="Calibri"/>
          <w:highlight w:val="white"/>
        </w:rPr>
        <w:t xml:space="preserve"> aims are clear. However, it's important to note that potential issues may have been overlooked during the study </w:t>
      </w:r>
      <w:hyperlink r:id="rId47">
        <w:r>
          <w:rPr>
            <w:rFonts w:ascii="Calibri" w:eastAsia="Calibri" w:hAnsi="Calibri" w:cs="Calibri"/>
            <w:color w:val="000000"/>
            <w:highlight w:val="white"/>
          </w:rPr>
          <w:t>(Blair and Conrad 2011)</w:t>
        </w:r>
      </w:hyperlink>
      <w:r>
        <w:rPr>
          <w:rFonts w:ascii="Calibri" w:eastAsia="Calibri" w:hAnsi="Calibri" w:cs="Calibri"/>
        </w:rPr>
        <w:t>. Our</w:t>
      </w:r>
      <w:r>
        <w:rPr>
          <w:rFonts w:ascii="Calibri" w:eastAsia="Calibri" w:hAnsi="Calibri" w:cs="Calibri"/>
          <w:highlight w:val="white"/>
        </w:rPr>
        <w:t xml:space="preserve"> previous research on the Osteo-TAQ </w:t>
      </w:r>
      <w:hyperlink r:id="rId48">
        <w:r>
          <w:rPr>
            <w:rFonts w:ascii="Calibri" w:eastAsia="Calibri" w:hAnsi="Calibri" w:cs="Calibri"/>
            <w:color w:val="000000"/>
            <w:highlight w:val="white"/>
          </w:rPr>
          <w:t xml:space="preserve">(O. P. Thomson and </w:t>
        </w:r>
        <w:proofErr w:type="spellStart"/>
        <w:r>
          <w:rPr>
            <w:rFonts w:ascii="Calibri" w:eastAsia="Calibri" w:hAnsi="Calibri" w:cs="Calibri"/>
            <w:color w:val="000000"/>
            <w:highlight w:val="white"/>
          </w:rPr>
          <w:t>Anstiss</w:t>
        </w:r>
        <w:proofErr w:type="spellEnd"/>
        <w:r>
          <w:rPr>
            <w:rFonts w:ascii="Calibri" w:eastAsia="Calibri" w:hAnsi="Calibri" w:cs="Calibri"/>
            <w:color w:val="000000"/>
            <w:highlight w:val="white"/>
          </w:rPr>
          <w:t xml:space="preserve"> 2020; O. P. Thomson et al. 2022)</w:t>
        </w:r>
      </w:hyperlink>
      <w:r>
        <w:rPr>
          <w:rFonts w:ascii="Calibri" w:eastAsia="Calibri" w:hAnsi="Calibri" w:cs="Calibri"/>
        </w:rPr>
        <w:t xml:space="preserve"> </w:t>
      </w:r>
      <w:r>
        <w:rPr>
          <w:rFonts w:ascii="Calibri" w:eastAsia="Calibri" w:hAnsi="Calibri" w:cs="Calibri"/>
          <w:highlight w:val="white"/>
        </w:rPr>
        <w:t xml:space="preserve">indicates that the likelihood of participants missing significant problems is low. This conclusion is based on the similarities in osteopathic practice between Australia </w:t>
      </w:r>
      <w:hyperlink r:id="rId49">
        <w:r>
          <w:rPr>
            <w:rFonts w:ascii="Calibri" w:eastAsia="Calibri" w:hAnsi="Calibri" w:cs="Calibri"/>
            <w:color w:val="000000"/>
            <w:highlight w:val="white"/>
          </w:rPr>
          <w:t>(Adams et al. 2018)</w:t>
        </w:r>
      </w:hyperlink>
      <w:r>
        <w:rPr>
          <w:rFonts w:ascii="Calibri" w:eastAsia="Calibri" w:hAnsi="Calibri" w:cs="Calibri"/>
          <w:highlight w:val="white"/>
        </w:rPr>
        <w:t xml:space="preserve"> and the United Kingdom </w:t>
      </w:r>
      <w:hyperlink r:id="rId50">
        <w:r>
          <w:rPr>
            <w:rFonts w:ascii="Calibri" w:eastAsia="Calibri" w:hAnsi="Calibri" w:cs="Calibri"/>
            <w:color w:val="000000"/>
            <w:highlight w:val="white"/>
          </w:rPr>
          <w:t>(Plunkett, Fawkes, and Carnes 2022)</w:t>
        </w:r>
      </w:hyperlink>
      <w:r>
        <w:rPr>
          <w:rFonts w:ascii="Calibri" w:eastAsia="Calibri" w:hAnsi="Calibri" w:cs="Calibri"/>
          <w:highlight w:val="white"/>
        </w:rPr>
        <w:t>, where the Osteo-TAQ was developed. Given these similarities and our experience in exploring, developing, and refining the Osteo-TAQ, we are confident in our assessment that participants are unlikely to overlook significant problems.</w:t>
      </w:r>
    </w:p>
    <w:p w14:paraId="6F7EBF94" w14:textId="77777777" w:rsidR="00FD6E76" w:rsidRDefault="00A840BB">
      <w:pPr>
        <w:spacing w:before="240" w:after="240" w:line="360" w:lineRule="auto"/>
        <w:jc w:val="both"/>
        <w:rPr>
          <w:rFonts w:ascii="Calibri" w:eastAsia="Calibri" w:hAnsi="Calibri" w:cs="Calibri"/>
          <w:highlight w:val="white"/>
        </w:rPr>
      </w:pPr>
      <w:r>
        <w:rPr>
          <w:rFonts w:ascii="Calibri" w:eastAsia="Calibri" w:hAnsi="Calibri" w:cs="Calibri"/>
        </w:rPr>
        <w:t xml:space="preserve">The utilising of cognitive interview methods in survey design for osteopathy is relatively uncommon, despite being considered as best practice in the design and development of surveys </w:t>
      </w:r>
      <w:hyperlink r:id="rId51">
        <w:r>
          <w:rPr>
            <w:rFonts w:ascii="Calibri" w:eastAsia="Calibri" w:hAnsi="Calibri" w:cs="Calibri"/>
            <w:color w:val="000000"/>
          </w:rPr>
          <w:t>(Ryan, Gannon-Slater, and Culbertson 2012)</w:t>
        </w:r>
      </w:hyperlink>
      <w:r>
        <w:rPr>
          <w:rFonts w:ascii="Calibri" w:eastAsia="Calibri" w:hAnsi="Calibri" w:cs="Calibri"/>
        </w:rPr>
        <w:t xml:space="preserve">, hence a strength of this study is its relatively novel contribution to the methodological literature in osteopathic research. </w:t>
      </w:r>
      <w:r>
        <w:rPr>
          <w:rFonts w:ascii="Calibri" w:eastAsia="Calibri" w:hAnsi="Calibri" w:cs="Calibri"/>
          <w:highlight w:val="white"/>
        </w:rPr>
        <w:t xml:space="preserve">Cognitive interviews are a qualitative research </w:t>
      </w:r>
      <w:r>
        <w:rPr>
          <w:rFonts w:ascii="Calibri" w:eastAsia="Calibri" w:hAnsi="Calibri" w:cs="Calibri"/>
          <w:highlight w:val="white"/>
        </w:rPr>
        <w:lastRenderedPageBreak/>
        <w:t xml:space="preserve">technique that allows participants to provide feedback on how they perceive and interpret the survey questions </w:t>
      </w:r>
      <w:hyperlink r:id="rId52">
        <w:r>
          <w:rPr>
            <w:rFonts w:ascii="Calibri" w:eastAsia="Calibri" w:hAnsi="Calibri" w:cs="Calibri"/>
            <w:color w:val="000000"/>
            <w:highlight w:val="white"/>
          </w:rPr>
          <w:t>(</w:t>
        </w:r>
        <w:proofErr w:type="spellStart"/>
        <w:r>
          <w:rPr>
            <w:rFonts w:ascii="Calibri" w:eastAsia="Calibri" w:hAnsi="Calibri" w:cs="Calibri"/>
            <w:color w:val="000000"/>
            <w:highlight w:val="white"/>
          </w:rPr>
          <w:t>Mcleod</w:t>
        </w:r>
        <w:proofErr w:type="spellEnd"/>
        <w:r>
          <w:rPr>
            <w:rFonts w:ascii="Calibri" w:eastAsia="Calibri" w:hAnsi="Calibri" w:cs="Calibri"/>
            <w:color w:val="000000"/>
            <w:highlight w:val="white"/>
          </w:rPr>
          <w:t xml:space="preserve"> 2022)</w:t>
        </w:r>
      </w:hyperlink>
      <w:r>
        <w:rPr>
          <w:rFonts w:ascii="Calibri" w:eastAsia="Calibri" w:hAnsi="Calibri" w:cs="Calibri"/>
          <w:highlight w:val="white"/>
        </w:rPr>
        <w:t>. This feedback provides researchers with valuable insights into how participants understand the survey items and whether they are interpreted in the intended manner. This process enables researchers to refine survey items, making them clearer and more accurate, ultimately improving the quality and validity of the survey. The use of cognitive interviews in the development phase of the Osteo-TAQ survey is a robust method that ensures the survey items are accurately measuring the intended constructs.</w:t>
      </w:r>
    </w:p>
    <w:p w14:paraId="6C888D25" w14:textId="77777777" w:rsidR="00FD6E76" w:rsidRDefault="00A840BB">
      <w:pPr>
        <w:spacing w:before="240" w:after="240" w:line="360" w:lineRule="auto"/>
        <w:jc w:val="both"/>
        <w:rPr>
          <w:rFonts w:ascii="Calibri" w:eastAsia="Calibri" w:hAnsi="Calibri" w:cs="Calibri"/>
          <w:highlight w:val="white"/>
        </w:rPr>
      </w:pPr>
      <w:r>
        <w:rPr>
          <w:rFonts w:ascii="Calibri" w:eastAsia="Calibri" w:hAnsi="Calibri" w:cs="Calibri"/>
          <w:highlight w:val="white"/>
        </w:rPr>
        <w:t xml:space="preserve">The present study finds that the demographics of participants and practice characteristics of Australian osteopaths are consistent with the findings of previous large-scale research </w:t>
      </w:r>
      <w:hyperlink r:id="rId53">
        <w:r>
          <w:rPr>
            <w:rFonts w:ascii="Calibri" w:eastAsia="Calibri" w:hAnsi="Calibri" w:cs="Calibri"/>
            <w:color w:val="000000"/>
            <w:highlight w:val="white"/>
          </w:rPr>
          <w:t>(Adams et al. 2018)</w:t>
        </w:r>
      </w:hyperlink>
      <w:r>
        <w:rPr>
          <w:rFonts w:ascii="Calibri" w:eastAsia="Calibri" w:hAnsi="Calibri" w:cs="Calibri"/>
          <w:highlight w:val="white"/>
        </w:rPr>
        <w:t xml:space="preserve">. Specifically, the study finds that a substantial proportion of the osteopaths work in private group practice settings, have extensive experience in the field, and possess high levels of education such as those which demonstrate more complex knowledge frameworks and critical appraisal </w:t>
      </w:r>
      <w:hyperlink r:id="rId54">
        <w:r>
          <w:rPr>
            <w:rFonts w:ascii="Calibri" w:eastAsia="Calibri" w:hAnsi="Calibri" w:cs="Calibri"/>
            <w:color w:val="000000"/>
            <w:highlight w:val="white"/>
          </w:rPr>
          <w:t>(“AQF Levels,” n.d.)</w:t>
        </w:r>
      </w:hyperlink>
      <w:r>
        <w:rPr>
          <w:rFonts w:ascii="Calibri" w:eastAsia="Calibri" w:hAnsi="Calibri" w:cs="Calibri"/>
          <w:highlight w:val="white"/>
        </w:rPr>
        <w:t xml:space="preserve">. The present findings validate prior research  </w:t>
      </w:r>
      <w:hyperlink r:id="rId55">
        <w:r>
          <w:rPr>
            <w:rFonts w:ascii="Calibri" w:eastAsia="Calibri" w:hAnsi="Calibri" w:cs="Calibri"/>
            <w:color w:val="000000"/>
            <w:highlight w:val="white"/>
          </w:rPr>
          <w:t xml:space="preserve">(Burke, Myers, and Zhang 2013; Adams et al. 2018; </w:t>
        </w:r>
        <w:proofErr w:type="spellStart"/>
        <w:r>
          <w:rPr>
            <w:rFonts w:ascii="Calibri" w:eastAsia="Calibri" w:hAnsi="Calibri" w:cs="Calibri"/>
            <w:color w:val="000000"/>
            <w:highlight w:val="white"/>
          </w:rPr>
          <w:t>Orrock</w:t>
        </w:r>
        <w:proofErr w:type="spellEnd"/>
        <w:r>
          <w:rPr>
            <w:rFonts w:ascii="Calibri" w:eastAsia="Calibri" w:hAnsi="Calibri" w:cs="Calibri"/>
            <w:color w:val="000000"/>
            <w:highlight w:val="white"/>
          </w:rPr>
          <w:t xml:space="preserve"> 2009)</w:t>
        </w:r>
      </w:hyperlink>
      <w:r>
        <w:rPr>
          <w:rFonts w:ascii="Calibri" w:eastAsia="Calibri" w:hAnsi="Calibri" w:cs="Calibri"/>
          <w:highlight w:val="white"/>
        </w:rPr>
        <w:t xml:space="preserve"> and suggest that the identified characteristics reflect the scope of Australian practice, albeit not necessarily representative of all Australian practitioners. It is important to acknowledge the limitations of our study in this regard. Nonetheless, the outcomes are consistent with existing literature and support our assertions.</w:t>
      </w:r>
    </w:p>
    <w:p w14:paraId="4D9BB25C" w14:textId="77777777" w:rsidR="00FD6E76" w:rsidRDefault="00FD6E76">
      <w:pPr>
        <w:spacing w:before="240" w:after="240" w:line="360" w:lineRule="auto"/>
        <w:jc w:val="both"/>
        <w:rPr>
          <w:rFonts w:ascii="Calibri" w:eastAsia="Calibri" w:hAnsi="Calibri" w:cs="Calibri"/>
          <w:highlight w:val="white"/>
        </w:rPr>
      </w:pPr>
    </w:p>
    <w:p w14:paraId="69165F3E" w14:textId="77777777" w:rsidR="00FD6E76" w:rsidRDefault="00A840BB">
      <w:pPr>
        <w:rPr>
          <w:rFonts w:ascii="Calibri" w:eastAsia="Calibri" w:hAnsi="Calibri" w:cs="Calibri"/>
          <w:b/>
        </w:rPr>
      </w:pPr>
      <w:r>
        <w:rPr>
          <w:rFonts w:ascii="Calibri" w:eastAsia="Calibri" w:hAnsi="Calibri" w:cs="Calibri"/>
          <w:b/>
        </w:rPr>
        <w:t>Conclusion</w:t>
      </w:r>
    </w:p>
    <w:p w14:paraId="1A50B5FA" w14:textId="77777777" w:rsidR="00FD6E76" w:rsidRDefault="00FD6E76">
      <w:pPr>
        <w:rPr>
          <w:rFonts w:ascii="Calibri" w:eastAsia="Calibri" w:hAnsi="Calibri" w:cs="Calibri"/>
          <w:i/>
        </w:rPr>
      </w:pPr>
    </w:p>
    <w:p w14:paraId="2561F33E" w14:textId="77777777" w:rsidR="00FD6E76" w:rsidRDefault="00A840BB">
      <w:pPr>
        <w:spacing w:line="360" w:lineRule="auto"/>
        <w:rPr>
          <w:rFonts w:ascii="Calibri" w:eastAsia="Calibri" w:hAnsi="Calibri" w:cs="Calibri"/>
        </w:rPr>
      </w:pPr>
      <w:r>
        <w:rPr>
          <w:rFonts w:ascii="Calibri" w:eastAsia="Calibri" w:hAnsi="Calibri" w:cs="Calibri"/>
        </w:rPr>
        <w:t xml:space="preserve">Through cognitive interview methods </w:t>
      </w:r>
      <w:r>
        <w:rPr>
          <w:rFonts w:ascii="Calibri" w:eastAsia="Calibri" w:hAnsi="Calibri" w:cs="Calibri"/>
          <w:highlight w:val="white"/>
        </w:rPr>
        <w:t xml:space="preserve">this study assessed and improved the quality of survey items for the UK-based Osteo-TAQ before utilising it to investigate the therapeutic approaches used by the Australian osteopathic profession. </w:t>
      </w:r>
      <w:r>
        <w:rPr>
          <w:rFonts w:ascii="Calibri" w:eastAsia="Calibri" w:hAnsi="Calibri" w:cs="Calibri"/>
        </w:rPr>
        <w:t xml:space="preserve">Three relatively minor problems were identified in relation to the core aspects of clinical practice </w:t>
      </w:r>
      <w:r>
        <w:rPr>
          <w:rFonts w:ascii="Calibri" w:eastAsia="Calibri" w:hAnsi="Calibri" w:cs="Calibri"/>
          <w:highlight w:val="white"/>
        </w:rPr>
        <w:t xml:space="preserve">such as the use of possessive pronouns and </w:t>
      </w:r>
      <w:proofErr w:type="spellStart"/>
      <w:r>
        <w:rPr>
          <w:rFonts w:ascii="Calibri" w:eastAsia="Calibri" w:hAnsi="Calibri" w:cs="Calibri"/>
          <w:highlight w:val="white"/>
        </w:rPr>
        <w:t>likert</w:t>
      </w:r>
      <w:proofErr w:type="spellEnd"/>
      <w:r>
        <w:rPr>
          <w:rFonts w:ascii="Calibri" w:eastAsia="Calibri" w:hAnsi="Calibri" w:cs="Calibri"/>
          <w:highlight w:val="white"/>
        </w:rPr>
        <w:t xml:space="preserve"> scale frequency response options.</w:t>
      </w:r>
      <w:r>
        <w:rPr>
          <w:sz w:val="21"/>
          <w:szCs w:val="21"/>
          <w:highlight w:val="white"/>
        </w:rPr>
        <w:t xml:space="preserve"> </w:t>
      </w:r>
      <w:r>
        <w:rPr>
          <w:rFonts w:ascii="Calibri" w:eastAsia="Calibri" w:hAnsi="Calibri" w:cs="Calibri"/>
        </w:rPr>
        <w:t xml:space="preserve">These problem areas may reflect the similarities in osteopathic practice in the UK and Australia, but also indicate subtle differences in the terminology utilised by osteopaths to describe and communicate areas of their clinical practice. The Osteo-TAQ was modified in response to these issues so that the instrument has sufficient clarity, comprehensibility and quality to be used to survey the Australian osteopathic profession, and further research is required to </w:t>
      </w:r>
      <w:r>
        <w:rPr>
          <w:rFonts w:ascii="Calibri" w:eastAsia="Calibri" w:hAnsi="Calibri" w:cs="Calibri"/>
          <w:highlight w:val="white"/>
        </w:rPr>
        <w:t xml:space="preserve">explore the measurement properties of the Osteo-TAQ in Australia and other </w:t>
      </w:r>
      <w:proofErr w:type="gramStart"/>
      <w:r>
        <w:rPr>
          <w:rFonts w:ascii="Calibri" w:eastAsia="Calibri" w:hAnsi="Calibri" w:cs="Calibri"/>
          <w:highlight w:val="white"/>
        </w:rPr>
        <w:t>jurisdictions</w:t>
      </w:r>
      <w:r>
        <w:rPr>
          <w:rFonts w:ascii="Calibri" w:eastAsia="Calibri" w:hAnsi="Calibri" w:cs="Calibri"/>
        </w:rPr>
        <w:t xml:space="preserve"> .</w:t>
      </w:r>
      <w:proofErr w:type="gramEnd"/>
      <w:r>
        <w:rPr>
          <w:rFonts w:ascii="Calibri" w:eastAsia="Calibri" w:hAnsi="Calibri" w:cs="Calibri"/>
        </w:rPr>
        <w:t xml:space="preserve"> </w:t>
      </w:r>
    </w:p>
    <w:p w14:paraId="39BD4693" w14:textId="77777777" w:rsidR="00FD6E76" w:rsidRDefault="00FD6E76">
      <w:pPr>
        <w:rPr>
          <w:b/>
        </w:rPr>
      </w:pPr>
    </w:p>
    <w:p w14:paraId="2D493FF5" w14:textId="77777777" w:rsidR="00FD6E76" w:rsidRDefault="00FD6E76">
      <w:pPr>
        <w:rPr>
          <w:b/>
        </w:rPr>
      </w:pPr>
    </w:p>
    <w:p w14:paraId="6E276993" w14:textId="77777777" w:rsidR="00FD6E76" w:rsidRDefault="00FD6E76">
      <w:pPr>
        <w:rPr>
          <w:b/>
        </w:rPr>
      </w:pPr>
    </w:p>
    <w:p w14:paraId="790A28DB" w14:textId="77777777" w:rsidR="00FD6E76" w:rsidRDefault="00FD6E76">
      <w:pPr>
        <w:rPr>
          <w:b/>
        </w:rPr>
      </w:pPr>
    </w:p>
    <w:p w14:paraId="15CE4E86" w14:textId="77777777" w:rsidR="00FD6E76" w:rsidRDefault="00FD6E76">
      <w:pPr>
        <w:rPr>
          <w:b/>
        </w:rPr>
      </w:pPr>
    </w:p>
    <w:p w14:paraId="26A732FD" w14:textId="77777777" w:rsidR="00FD6E76" w:rsidRDefault="00FD6E76">
      <w:pPr>
        <w:rPr>
          <w:b/>
        </w:rPr>
      </w:pPr>
    </w:p>
    <w:p w14:paraId="775BD23F" w14:textId="77777777" w:rsidR="00FD6E76" w:rsidRDefault="00FD6E76">
      <w:pPr>
        <w:rPr>
          <w:b/>
        </w:rPr>
      </w:pPr>
    </w:p>
    <w:p w14:paraId="189DBFE3" w14:textId="77777777" w:rsidR="00FD6E76" w:rsidRDefault="00FD6E76">
      <w:pPr>
        <w:rPr>
          <w:b/>
        </w:rPr>
      </w:pPr>
    </w:p>
    <w:p w14:paraId="76D72AD3" w14:textId="77777777" w:rsidR="00FD6E76" w:rsidRDefault="00FD6E76">
      <w:pPr>
        <w:rPr>
          <w:b/>
        </w:rPr>
      </w:pPr>
    </w:p>
    <w:p w14:paraId="3792C5CE" w14:textId="77777777" w:rsidR="00FD6E76" w:rsidRDefault="00FD6E76">
      <w:pPr>
        <w:rPr>
          <w:b/>
        </w:rPr>
      </w:pPr>
    </w:p>
    <w:p w14:paraId="14BB5212" w14:textId="77777777" w:rsidR="00FD6E76" w:rsidRDefault="00A840BB">
      <w:pPr>
        <w:rPr>
          <w:rFonts w:ascii="Calibri" w:eastAsia="Calibri" w:hAnsi="Calibri" w:cs="Calibri"/>
          <w:b/>
        </w:rPr>
      </w:pPr>
      <w:r>
        <w:rPr>
          <w:rFonts w:ascii="Calibri" w:eastAsia="Calibri" w:hAnsi="Calibri" w:cs="Calibri"/>
          <w:b/>
        </w:rPr>
        <w:t>References</w:t>
      </w:r>
    </w:p>
    <w:p w14:paraId="71483508" w14:textId="77777777" w:rsidR="00FD6E76" w:rsidRDefault="00FD6E76">
      <w:pPr>
        <w:rPr>
          <w:rFonts w:ascii="Calibri" w:eastAsia="Calibri" w:hAnsi="Calibri" w:cs="Calibri"/>
        </w:rPr>
      </w:pPr>
    </w:p>
    <w:p w14:paraId="7A277275" w14:textId="77777777" w:rsidR="00FD6E76" w:rsidRDefault="00BF331D">
      <w:pPr>
        <w:widowControl w:val="0"/>
        <w:pBdr>
          <w:top w:val="nil"/>
          <w:left w:val="nil"/>
          <w:bottom w:val="nil"/>
          <w:right w:val="nil"/>
          <w:between w:val="nil"/>
        </w:pBdr>
        <w:spacing w:before="220" w:line="240" w:lineRule="auto"/>
        <w:ind w:left="440" w:hanging="440"/>
        <w:rPr>
          <w:rFonts w:ascii="Calibri" w:eastAsia="Calibri" w:hAnsi="Calibri" w:cs="Calibri"/>
          <w:color w:val="000000"/>
        </w:rPr>
      </w:pPr>
      <w:hyperlink r:id="rId56">
        <w:r w:rsidR="00A840BB">
          <w:rPr>
            <w:rFonts w:ascii="Calibri" w:eastAsia="Calibri" w:hAnsi="Calibri" w:cs="Calibri"/>
            <w:color w:val="000000"/>
          </w:rPr>
          <w:t xml:space="preserve">Adams, Jon, David </w:t>
        </w:r>
        <w:proofErr w:type="spellStart"/>
        <w:r w:rsidR="00A840BB">
          <w:rPr>
            <w:rFonts w:ascii="Calibri" w:eastAsia="Calibri" w:hAnsi="Calibri" w:cs="Calibri"/>
            <w:color w:val="000000"/>
          </w:rPr>
          <w:t>Sibbritt</w:t>
        </w:r>
        <w:proofErr w:type="spellEnd"/>
        <w:r w:rsidR="00A840BB">
          <w:rPr>
            <w:rFonts w:ascii="Calibri" w:eastAsia="Calibri" w:hAnsi="Calibri" w:cs="Calibri"/>
            <w:color w:val="000000"/>
          </w:rPr>
          <w:t xml:space="preserve">, Amie Steel, and </w:t>
        </w:r>
        <w:proofErr w:type="spellStart"/>
        <w:r w:rsidR="00A840BB">
          <w:rPr>
            <w:rFonts w:ascii="Calibri" w:eastAsia="Calibri" w:hAnsi="Calibri" w:cs="Calibri"/>
            <w:color w:val="000000"/>
          </w:rPr>
          <w:t>Wenbo</w:t>
        </w:r>
        <w:proofErr w:type="spellEnd"/>
        <w:r w:rsidR="00A840BB">
          <w:rPr>
            <w:rFonts w:ascii="Calibri" w:eastAsia="Calibri" w:hAnsi="Calibri" w:cs="Calibri"/>
            <w:color w:val="000000"/>
          </w:rPr>
          <w:t xml:space="preserve"> Peng. 2018. “A Workforce Survey of Australian Osteopathy: Analysis of a Nationally-Representative Sample of Osteopaths from the Osteopathy Research and Innovation Network (ORION) Project.” </w:t>
        </w:r>
      </w:hyperlink>
      <w:hyperlink r:id="rId57">
        <w:r w:rsidR="00A840BB">
          <w:rPr>
            <w:rFonts w:ascii="Calibri" w:eastAsia="Calibri" w:hAnsi="Calibri" w:cs="Calibri"/>
            <w:i/>
            <w:color w:val="000000"/>
          </w:rPr>
          <w:t>BMC Health Services Research</w:t>
        </w:r>
      </w:hyperlink>
      <w:hyperlink r:id="rId58">
        <w:r w:rsidR="00A840BB">
          <w:rPr>
            <w:rFonts w:ascii="Calibri" w:eastAsia="Calibri" w:hAnsi="Calibri" w:cs="Calibri"/>
            <w:color w:val="000000"/>
          </w:rPr>
          <w:t xml:space="preserve"> 18 (1): 352.</w:t>
        </w:r>
      </w:hyperlink>
    </w:p>
    <w:p w14:paraId="565EEAC3" w14:textId="77777777" w:rsidR="00FD6E76" w:rsidRDefault="00BF331D">
      <w:pPr>
        <w:widowControl w:val="0"/>
        <w:pBdr>
          <w:top w:val="nil"/>
          <w:left w:val="nil"/>
          <w:bottom w:val="nil"/>
          <w:right w:val="nil"/>
          <w:between w:val="nil"/>
        </w:pBdr>
        <w:spacing w:line="240" w:lineRule="auto"/>
        <w:ind w:left="440" w:hanging="440"/>
        <w:rPr>
          <w:rFonts w:ascii="Calibri" w:eastAsia="Calibri" w:hAnsi="Calibri" w:cs="Calibri"/>
          <w:color w:val="000000"/>
        </w:rPr>
      </w:pPr>
      <w:hyperlink r:id="rId59">
        <w:r w:rsidR="00A840BB">
          <w:rPr>
            <w:rFonts w:ascii="Calibri" w:eastAsia="Calibri" w:hAnsi="Calibri" w:cs="Calibri"/>
            <w:color w:val="000000"/>
          </w:rPr>
          <w:t xml:space="preserve">Alvarez, Gerard, Sonia </w:t>
        </w:r>
        <w:proofErr w:type="spellStart"/>
        <w:r w:rsidR="00A840BB">
          <w:rPr>
            <w:rFonts w:ascii="Calibri" w:eastAsia="Calibri" w:hAnsi="Calibri" w:cs="Calibri"/>
            <w:color w:val="000000"/>
          </w:rPr>
          <w:t>Roura</w:t>
        </w:r>
        <w:proofErr w:type="spellEnd"/>
        <w:r w:rsidR="00A840BB">
          <w:rPr>
            <w:rFonts w:ascii="Calibri" w:eastAsia="Calibri" w:hAnsi="Calibri" w:cs="Calibri"/>
            <w:color w:val="000000"/>
          </w:rPr>
          <w:t xml:space="preserve">, Francesco </w:t>
        </w:r>
        <w:proofErr w:type="spellStart"/>
        <w:r w:rsidR="00A840BB">
          <w:rPr>
            <w:rFonts w:ascii="Calibri" w:eastAsia="Calibri" w:hAnsi="Calibri" w:cs="Calibri"/>
            <w:color w:val="000000"/>
          </w:rPr>
          <w:t>Cerritelli</w:t>
        </w:r>
        <w:proofErr w:type="spellEnd"/>
        <w:r w:rsidR="00A840BB">
          <w:rPr>
            <w:rFonts w:ascii="Calibri" w:eastAsia="Calibri" w:hAnsi="Calibri" w:cs="Calibri"/>
            <w:color w:val="000000"/>
          </w:rPr>
          <w:t xml:space="preserve">, Jorge E. Esteves, Johan Verbeeck, and Patrick L. S. van Dun. 2020. “The Spanish Osteopathic Practitioners Estimates and </w:t>
        </w:r>
        <w:proofErr w:type="spellStart"/>
        <w:r w:rsidR="00A840BB">
          <w:rPr>
            <w:rFonts w:ascii="Calibri" w:eastAsia="Calibri" w:hAnsi="Calibri" w:cs="Calibri"/>
            <w:color w:val="000000"/>
          </w:rPr>
          <w:t>RAtes</w:t>
        </w:r>
        <w:proofErr w:type="spellEnd"/>
        <w:r w:rsidR="00A840BB">
          <w:rPr>
            <w:rFonts w:ascii="Calibri" w:eastAsia="Calibri" w:hAnsi="Calibri" w:cs="Calibri"/>
            <w:color w:val="000000"/>
          </w:rPr>
          <w:t xml:space="preserve"> (OPERA) Study: A Cross-Sectional Survey.” </w:t>
        </w:r>
      </w:hyperlink>
      <w:hyperlink r:id="rId60">
        <w:proofErr w:type="spellStart"/>
        <w:r w:rsidR="00A840BB">
          <w:rPr>
            <w:rFonts w:ascii="Calibri" w:eastAsia="Calibri" w:hAnsi="Calibri" w:cs="Calibri"/>
            <w:i/>
            <w:color w:val="000000"/>
          </w:rPr>
          <w:t>PloS</w:t>
        </w:r>
        <w:proofErr w:type="spellEnd"/>
        <w:r w:rsidR="00A840BB">
          <w:rPr>
            <w:rFonts w:ascii="Calibri" w:eastAsia="Calibri" w:hAnsi="Calibri" w:cs="Calibri"/>
            <w:i/>
            <w:color w:val="000000"/>
          </w:rPr>
          <w:t xml:space="preserve"> One</w:t>
        </w:r>
      </w:hyperlink>
      <w:hyperlink r:id="rId61">
        <w:r w:rsidR="00A840BB">
          <w:rPr>
            <w:rFonts w:ascii="Calibri" w:eastAsia="Calibri" w:hAnsi="Calibri" w:cs="Calibri"/>
            <w:color w:val="000000"/>
          </w:rPr>
          <w:t xml:space="preserve"> 15 (6): e0234713.</w:t>
        </w:r>
      </w:hyperlink>
    </w:p>
    <w:p w14:paraId="12612936" w14:textId="77777777" w:rsidR="00FD6E76" w:rsidRDefault="00BF331D">
      <w:pPr>
        <w:widowControl w:val="0"/>
        <w:pBdr>
          <w:top w:val="nil"/>
          <w:left w:val="nil"/>
          <w:bottom w:val="nil"/>
          <w:right w:val="nil"/>
          <w:between w:val="nil"/>
        </w:pBdr>
        <w:spacing w:line="240" w:lineRule="auto"/>
        <w:ind w:left="440" w:hanging="440"/>
        <w:rPr>
          <w:rFonts w:ascii="Calibri" w:eastAsia="Calibri" w:hAnsi="Calibri" w:cs="Calibri"/>
          <w:color w:val="000000"/>
        </w:rPr>
      </w:pPr>
      <w:hyperlink r:id="rId62">
        <w:r w:rsidR="00A840BB">
          <w:rPr>
            <w:rFonts w:ascii="Calibri" w:eastAsia="Calibri" w:hAnsi="Calibri" w:cs="Calibri"/>
            <w:color w:val="000000"/>
          </w:rPr>
          <w:t xml:space="preserve">“AOAC.” n.d. Accessed August 16, 2023. </w:t>
        </w:r>
      </w:hyperlink>
      <w:hyperlink r:id="rId63">
        <w:r w:rsidR="00A840BB">
          <w:rPr>
            <w:rFonts w:ascii="Calibri" w:eastAsia="Calibri" w:hAnsi="Calibri" w:cs="Calibri"/>
            <w:color w:val="000000"/>
          </w:rPr>
          <w:t>https://osteopathiccouncil.org.au/</w:t>
        </w:r>
      </w:hyperlink>
      <w:hyperlink r:id="rId64">
        <w:r w:rsidR="00A840BB">
          <w:rPr>
            <w:rFonts w:ascii="Calibri" w:eastAsia="Calibri" w:hAnsi="Calibri" w:cs="Calibri"/>
            <w:color w:val="000000"/>
          </w:rPr>
          <w:t>.</w:t>
        </w:r>
      </w:hyperlink>
    </w:p>
    <w:p w14:paraId="3476C573" w14:textId="77777777" w:rsidR="00FD6E76" w:rsidRDefault="00BF331D">
      <w:pPr>
        <w:widowControl w:val="0"/>
        <w:pBdr>
          <w:top w:val="nil"/>
          <w:left w:val="nil"/>
          <w:bottom w:val="nil"/>
          <w:right w:val="nil"/>
          <w:between w:val="nil"/>
        </w:pBdr>
        <w:spacing w:line="240" w:lineRule="auto"/>
        <w:ind w:left="440" w:hanging="440"/>
        <w:rPr>
          <w:rFonts w:ascii="Calibri" w:eastAsia="Calibri" w:hAnsi="Calibri" w:cs="Calibri"/>
          <w:color w:val="000000"/>
        </w:rPr>
      </w:pPr>
      <w:hyperlink r:id="rId65">
        <w:r w:rsidR="00A840BB">
          <w:rPr>
            <w:rFonts w:ascii="Calibri" w:eastAsia="Calibri" w:hAnsi="Calibri" w:cs="Calibri"/>
            <w:color w:val="000000"/>
          </w:rPr>
          <w:t xml:space="preserve">“AQF Levels.” n.d. AQF. Accessed October 23, 2023. </w:t>
        </w:r>
      </w:hyperlink>
      <w:hyperlink r:id="rId66">
        <w:r w:rsidR="00A840BB">
          <w:rPr>
            <w:rFonts w:ascii="Calibri" w:eastAsia="Calibri" w:hAnsi="Calibri" w:cs="Calibri"/>
            <w:color w:val="000000"/>
          </w:rPr>
          <w:t>https://www.aqf.edu.au/framework/aqf-levels</w:t>
        </w:r>
      </w:hyperlink>
      <w:hyperlink r:id="rId67">
        <w:r w:rsidR="00A840BB">
          <w:rPr>
            <w:rFonts w:ascii="Calibri" w:eastAsia="Calibri" w:hAnsi="Calibri" w:cs="Calibri"/>
            <w:color w:val="000000"/>
          </w:rPr>
          <w:t>.</w:t>
        </w:r>
      </w:hyperlink>
    </w:p>
    <w:p w14:paraId="4B819588" w14:textId="77777777" w:rsidR="00FD6E76" w:rsidRDefault="00BF331D">
      <w:pPr>
        <w:widowControl w:val="0"/>
        <w:pBdr>
          <w:top w:val="nil"/>
          <w:left w:val="nil"/>
          <w:bottom w:val="nil"/>
          <w:right w:val="nil"/>
          <w:between w:val="nil"/>
        </w:pBdr>
        <w:spacing w:line="240" w:lineRule="auto"/>
        <w:ind w:left="440" w:hanging="440"/>
        <w:rPr>
          <w:rFonts w:ascii="Calibri" w:eastAsia="Calibri" w:hAnsi="Calibri" w:cs="Calibri"/>
          <w:color w:val="000000"/>
        </w:rPr>
      </w:pPr>
      <w:hyperlink r:id="rId68">
        <w:r w:rsidR="00A840BB">
          <w:rPr>
            <w:rFonts w:ascii="Calibri" w:eastAsia="Calibri" w:hAnsi="Calibri" w:cs="Calibri"/>
            <w:color w:val="000000"/>
          </w:rPr>
          <w:t xml:space="preserve">Banton, Amanda, and Steven Vogel. 2024. “Relational Clinical Practice: A Hermeneutic, Enactive, Intersubjective Model of Osteopathy.” </w:t>
        </w:r>
      </w:hyperlink>
      <w:hyperlink r:id="rId69">
        <w:r w:rsidR="00A840BB">
          <w:rPr>
            <w:rFonts w:ascii="Calibri" w:eastAsia="Calibri" w:hAnsi="Calibri" w:cs="Calibri"/>
            <w:i/>
            <w:color w:val="000000"/>
          </w:rPr>
          <w:t>International Journal of Osteopathic Medicine: IJOM</w:t>
        </w:r>
      </w:hyperlink>
      <w:hyperlink r:id="rId70">
        <w:r w:rsidR="00A840BB">
          <w:rPr>
            <w:rFonts w:ascii="Calibri" w:eastAsia="Calibri" w:hAnsi="Calibri" w:cs="Calibri"/>
            <w:color w:val="000000"/>
          </w:rPr>
          <w:t xml:space="preserve"> 51 (March): 100707.</w:t>
        </w:r>
      </w:hyperlink>
    </w:p>
    <w:p w14:paraId="45526A8E" w14:textId="77777777" w:rsidR="00FD6E76" w:rsidRDefault="00BF331D">
      <w:pPr>
        <w:widowControl w:val="0"/>
        <w:pBdr>
          <w:top w:val="nil"/>
          <w:left w:val="nil"/>
          <w:bottom w:val="nil"/>
          <w:right w:val="nil"/>
          <w:between w:val="nil"/>
        </w:pBdr>
        <w:spacing w:line="240" w:lineRule="auto"/>
        <w:ind w:left="440" w:hanging="440"/>
        <w:rPr>
          <w:rFonts w:ascii="Calibri" w:eastAsia="Calibri" w:hAnsi="Calibri" w:cs="Calibri"/>
          <w:color w:val="000000"/>
        </w:rPr>
      </w:pPr>
      <w:hyperlink r:id="rId71">
        <w:r w:rsidR="00A840BB">
          <w:rPr>
            <w:rFonts w:ascii="Calibri" w:eastAsia="Calibri" w:hAnsi="Calibri" w:cs="Calibri"/>
            <w:color w:val="000000"/>
          </w:rPr>
          <w:t xml:space="preserve">Beatty, Paul. 2004. “Paradigms of Cognitive Interviewing Practice, and Their Implications for Developing Standards of Best Practice.” In </w:t>
        </w:r>
      </w:hyperlink>
      <w:hyperlink r:id="rId72">
        <w:r w:rsidR="00A840BB">
          <w:rPr>
            <w:rFonts w:ascii="Calibri" w:eastAsia="Calibri" w:hAnsi="Calibri" w:cs="Calibri"/>
            <w:i/>
            <w:color w:val="000000"/>
          </w:rPr>
          <w:t>Conference on Questionnaire Evaluation Standards-QUEST 2003</w:t>
        </w:r>
      </w:hyperlink>
      <w:hyperlink r:id="rId73">
        <w:r w:rsidR="00A840BB">
          <w:rPr>
            <w:rFonts w:ascii="Calibri" w:eastAsia="Calibri" w:hAnsi="Calibri" w:cs="Calibri"/>
            <w:color w:val="000000"/>
          </w:rPr>
          <w:t>, 9:8–25. DEU.</w:t>
        </w:r>
      </w:hyperlink>
    </w:p>
    <w:p w14:paraId="05CEB5DC" w14:textId="77777777" w:rsidR="00FD6E76" w:rsidRDefault="00BF331D">
      <w:pPr>
        <w:widowControl w:val="0"/>
        <w:pBdr>
          <w:top w:val="nil"/>
          <w:left w:val="nil"/>
          <w:bottom w:val="nil"/>
          <w:right w:val="nil"/>
          <w:between w:val="nil"/>
        </w:pBdr>
        <w:spacing w:line="240" w:lineRule="auto"/>
        <w:ind w:left="440" w:hanging="440"/>
        <w:rPr>
          <w:rFonts w:ascii="Calibri" w:eastAsia="Calibri" w:hAnsi="Calibri" w:cs="Calibri"/>
          <w:color w:val="000000"/>
        </w:rPr>
      </w:pPr>
      <w:hyperlink r:id="rId74">
        <w:r w:rsidR="00A840BB">
          <w:rPr>
            <w:rFonts w:ascii="Calibri" w:eastAsia="Calibri" w:hAnsi="Calibri" w:cs="Calibri"/>
            <w:color w:val="000000"/>
          </w:rPr>
          <w:t xml:space="preserve">Beatty, Paul C., and Gordon B. Willis. 2007. “Research Synthesis: The Practice of Cognitive Interviewing.” </w:t>
        </w:r>
      </w:hyperlink>
      <w:hyperlink r:id="rId75">
        <w:r w:rsidR="00A840BB">
          <w:rPr>
            <w:rFonts w:ascii="Calibri" w:eastAsia="Calibri" w:hAnsi="Calibri" w:cs="Calibri"/>
            <w:i/>
            <w:color w:val="000000"/>
          </w:rPr>
          <w:t>Public Opinion Quarterly</w:t>
        </w:r>
      </w:hyperlink>
      <w:hyperlink r:id="rId76">
        <w:r w:rsidR="00A840BB">
          <w:rPr>
            <w:rFonts w:ascii="Calibri" w:eastAsia="Calibri" w:hAnsi="Calibri" w:cs="Calibri"/>
            <w:color w:val="000000"/>
          </w:rPr>
          <w:t xml:space="preserve"> 71 (2): 287–311.</w:t>
        </w:r>
      </w:hyperlink>
    </w:p>
    <w:p w14:paraId="66237E74" w14:textId="77777777" w:rsidR="00FD6E76" w:rsidRDefault="00BF331D">
      <w:pPr>
        <w:widowControl w:val="0"/>
        <w:pBdr>
          <w:top w:val="nil"/>
          <w:left w:val="nil"/>
          <w:bottom w:val="nil"/>
          <w:right w:val="nil"/>
          <w:between w:val="nil"/>
        </w:pBdr>
        <w:spacing w:line="240" w:lineRule="auto"/>
        <w:ind w:left="440" w:hanging="440"/>
        <w:rPr>
          <w:rFonts w:ascii="Calibri" w:eastAsia="Calibri" w:hAnsi="Calibri" w:cs="Calibri"/>
          <w:color w:val="000000"/>
        </w:rPr>
      </w:pPr>
      <w:hyperlink r:id="rId77">
        <w:r w:rsidR="00A840BB">
          <w:rPr>
            <w:rFonts w:ascii="Calibri" w:eastAsia="Calibri" w:hAnsi="Calibri" w:cs="Calibri"/>
            <w:color w:val="000000"/>
          </w:rPr>
          <w:t xml:space="preserve">Bengtsson, Mariette. 2016. “How to Plan and Perform a Qualitative Study Using Content Analysis.” </w:t>
        </w:r>
      </w:hyperlink>
      <w:hyperlink r:id="rId78">
        <w:proofErr w:type="spellStart"/>
        <w:r w:rsidR="00A840BB">
          <w:rPr>
            <w:rFonts w:ascii="Calibri" w:eastAsia="Calibri" w:hAnsi="Calibri" w:cs="Calibri"/>
            <w:i/>
            <w:color w:val="000000"/>
          </w:rPr>
          <w:t>NursingPlus</w:t>
        </w:r>
        <w:proofErr w:type="spellEnd"/>
        <w:r w:rsidR="00A840BB">
          <w:rPr>
            <w:rFonts w:ascii="Calibri" w:eastAsia="Calibri" w:hAnsi="Calibri" w:cs="Calibri"/>
            <w:i/>
            <w:color w:val="000000"/>
          </w:rPr>
          <w:t xml:space="preserve"> Open</w:t>
        </w:r>
      </w:hyperlink>
      <w:hyperlink r:id="rId79">
        <w:r w:rsidR="00A840BB">
          <w:rPr>
            <w:rFonts w:ascii="Calibri" w:eastAsia="Calibri" w:hAnsi="Calibri" w:cs="Calibri"/>
            <w:color w:val="000000"/>
          </w:rPr>
          <w:t xml:space="preserve"> 2 (January): 8–14.</w:t>
        </w:r>
      </w:hyperlink>
    </w:p>
    <w:p w14:paraId="7AB7178E" w14:textId="77777777" w:rsidR="00FD6E76" w:rsidRDefault="00BF331D">
      <w:pPr>
        <w:widowControl w:val="0"/>
        <w:pBdr>
          <w:top w:val="nil"/>
          <w:left w:val="nil"/>
          <w:bottom w:val="nil"/>
          <w:right w:val="nil"/>
          <w:between w:val="nil"/>
        </w:pBdr>
        <w:spacing w:line="240" w:lineRule="auto"/>
        <w:ind w:left="440" w:hanging="440"/>
        <w:rPr>
          <w:rFonts w:ascii="Calibri" w:eastAsia="Calibri" w:hAnsi="Calibri" w:cs="Calibri"/>
          <w:color w:val="000000"/>
        </w:rPr>
      </w:pPr>
      <w:hyperlink r:id="rId80">
        <w:r w:rsidR="00A840BB">
          <w:rPr>
            <w:rFonts w:ascii="Calibri" w:eastAsia="Calibri" w:hAnsi="Calibri" w:cs="Calibri"/>
            <w:color w:val="000000"/>
          </w:rPr>
          <w:t xml:space="preserve">Blair, Johnny, and Frederick G. Conrad. 2011. “Sample Size for Cognitive Interview Pretesting.” </w:t>
        </w:r>
      </w:hyperlink>
      <w:hyperlink r:id="rId81">
        <w:r w:rsidR="00A840BB">
          <w:rPr>
            <w:rFonts w:ascii="Calibri" w:eastAsia="Calibri" w:hAnsi="Calibri" w:cs="Calibri"/>
            <w:i/>
            <w:color w:val="000000"/>
          </w:rPr>
          <w:t>Public Opinion Quarterly</w:t>
        </w:r>
      </w:hyperlink>
      <w:hyperlink r:id="rId82">
        <w:r w:rsidR="00A840BB">
          <w:rPr>
            <w:rFonts w:ascii="Calibri" w:eastAsia="Calibri" w:hAnsi="Calibri" w:cs="Calibri"/>
            <w:color w:val="000000"/>
          </w:rPr>
          <w:t xml:space="preserve"> 75 (4): 636–58.</w:t>
        </w:r>
      </w:hyperlink>
    </w:p>
    <w:p w14:paraId="5D0FA69C" w14:textId="77777777" w:rsidR="00FD6E76" w:rsidRDefault="00BF331D">
      <w:pPr>
        <w:widowControl w:val="0"/>
        <w:pBdr>
          <w:top w:val="nil"/>
          <w:left w:val="nil"/>
          <w:bottom w:val="nil"/>
          <w:right w:val="nil"/>
          <w:between w:val="nil"/>
        </w:pBdr>
        <w:spacing w:line="240" w:lineRule="auto"/>
        <w:ind w:left="440" w:hanging="440"/>
        <w:rPr>
          <w:rFonts w:ascii="Calibri" w:eastAsia="Calibri" w:hAnsi="Calibri" w:cs="Calibri"/>
          <w:color w:val="000000"/>
        </w:rPr>
      </w:pPr>
      <w:hyperlink r:id="rId83">
        <w:proofErr w:type="spellStart"/>
        <w:r w:rsidR="00A840BB">
          <w:rPr>
            <w:rFonts w:ascii="Calibri" w:eastAsia="Calibri" w:hAnsi="Calibri" w:cs="Calibri"/>
            <w:color w:val="000000"/>
          </w:rPr>
          <w:t>Bocklisch</w:t>
        </w:r>
        <w:proofErr w:type="spellEnd"/>
        <w:r w:rsidR="00A840BB">
          <w:rPr>
            <w:rFonts w:ascii="Calibri" w:eastAsia="Calibri" w:hAnsi="Calibri" w:cs="Calibri"/>
            <w:color w:val="000000"/>
          </w:rPr>
          <w:t xml:space="preserve">, Franziska, Steffen F. </w:t>
        </w:r>
        <w:proofErr w:type="spellStart"/>
        <w:r w:rsidR="00A840BB">
          <w:rPr>
            <w:rFonts w:ascii="Calibri" w:eastAsia="Calibri" w:hAnsi="Calibri" w:cs="Calibri"/>
            <w:color w:val="000000"/>
          </w:rPr>
          <w:t>Bocklisch</w:t>
        </w:r>
        <w:proofErr w:type="spellEnd"/>
        <w:r w:rsidR="00A840BB">
          <w:rPr>
            <w:rFonts w:ascii="Calibri" w:eastAsia="Calibri" w:hAnsi="Calibri" w:cs="Calibri"/>
            <w:color w:val="000000"/>
          </w:rPr>
          <w:t xml:space="preserve">, and Josef F. </w:t>
        </w:r>
        <w:proofErr w:type="spellStart"/>
        <w:r w:rsidR="00A840BB">
          <w:rPr>
            <w:rFonts w:ascii="Calibri" w:eastAsia="Calibri" w:hAnsi="Calibri" w:cs="Calibri"/>
            <w:color w:val="000000"/>
          </w:rPr>
          <w:t>Krems</w:t>
        </w:r>
        <w:proofErr w:type="spellEnd"/>
        <w:r w:rsidR="00A840BB">
          <w:rPr>
            <w:rFonts w:ascii="Calibri" w:eastAsia="Calibri" w:hAnsi="Calibri" w:cs="Calibri"/>
            <w:color w:val="000000"/>
          </w:rPr>
          <w:t xml:space="preserve">. 2012. “Sometimes, Often, and Always: Exploring the Vague Meanings of Frequency Expressions.” </w:t>
        </w:r>
      </w:hyperlink>
      <w:hyperlink r:id="rId84">
        <w:proofErr w:type="spellStart"/>
        <w:r w:rsidR="00A840BB">
          <w:rPr>
            <w:rFonts w:ascii="Calibri" w:eastAsia="Calibri" w:hAnsi="Calibri" w:cs="Calibri"/>
            <w:i/>
            <w:color w:val="000000"/>
          </w:rPr>
          <w:t>Behavior</w:t>
        </w:r>
        <w:proofErr w:type="spellEnd"/>
        <w:r w:rsidR="00A840BB">
          <w:rPr>
            <w:rFonts w:ascii="Calibri" w:eastAsia="Calibri" w:hAnsi="Calibri" w:cs="Calibri"/>
            <w:i/>
            <w:color w:val="000000"/>
          </w:rPr>
          <w:t xml:space="preserve"> Research Methods</w:t>
        </w:r>
      </w:hyperlink>
      <w:hyperlink r:id="rId85">
        <w:r w:rsidR="00A840BB">
          <w:rPr>
            <w:rFonts w:ascii="Calibri" w:eastAsia="Calibri" w:hAnsi="Calibri" w:cs="Calibri"/>
            <w:color w:val="000000"/>
          </w:rPr>
          <w:t xml:space="preserve"> 44 (1): 144–57.</w:t>
        </w:r>
      </w:hyperlink>
    </w:p>
    <w:p w14:paraId="3C778A9C" w14:textId="77777777" w:rsidR="00FD6E76" w:rsidRDefault="00BF331D">
      <w:pPr>
        <w:widowControl w:val="0"/>
        <w:pBdr>
          <w:top w:val="nil"/>
          <w:left w:val="nil"/>
          <w:bottom w:val="nil"/>
          <w:right w:val="nil"/>
          <w:between w:val="nil"/>
        </w:pBdr>
        <w:spacing w:line="240" w:lineRule="auto"/>
        <w:ind w:left="440" w:hanging="440"/>
        <w:rPr>
          <w:rFonts w:ascii="Calibri" w:eastAsia="Calibri" w:hAnsi="Calibri" w:cs="Calibri"/>
          <w:color w:val="000000"/>
        </w:rPr>
      </w:pPr>
      <w:hyperlink r:id="rId86">
        <w:proofErr w:type="spellStart"/>
        <w:r w:rsidR="00A840BB">
          <w:rPr>
            <w:rFonts w:ascii="Calibri" w:eastAsia="Calibri" w:hAnsi="Calibri" w:cs="Calibri"/>
            <w:color w:val="000000"/>
          </w:rPr>
          <w:t>Boeije</w:t>
        </w:r>
        <w:proofErr w:type="spellEnd"/>
        <w:r w:rsidR="00A840BB">
          <w:rPr>
            <w:rFonts w:ascii="Calibri" w:eastAsia="Calibri" w:hAnsi="Calibri" w:cs="Calibri"/>
            <w:color w:val="000000"/>
          </w:rPr>
          <w:t xml:space="preserve">, Hennie, and Gordon Willis. 2013. “The Cognitive Interviewing Reporting Framework (CIRF).” </w:t>
        </w:r>
      </w:hyperlink>
      <w:hyperlink r:id="rId87">
        <w:r w:rsidR="00A840BB">
          <w:rPr>
            <w:rFonts w:ascii="Calibri" w:eastAsia="Calibri" w:hAnsi="Calibri" w:cs="Calibri"/>
            <w:i/>
            <w:color w:val="000000"/>
          </w:rPr>
          <w:t xml:space="preserve">Methodology: European Journal of Research Methods for the </w:t>
        </w:r>
        <w:proofErr w:type="spellStart"/>
        <w:r w:rsidR="00A840BB">
          <w:rPr>
            <w:rFonts w:ascii="Calibri" w:eastAsia="Calibri" w:hAnsi="Calibri" w:cs="Calibri"/>
            <w:i/>
            <w:color w:val="000000"/>
          </w:rPr>
          <w:t>Behavioral</w:t>
        </w:r>
        <w:proofErr w:type="spellEnd"/>
        <w:r w:rsidR="00A840BB">
          <w:rPr>
            <w:rFonts w:ascii="Calibri" w:eastAsia="Calibri" w:hAnsi="Calibri" w:cs="Calibri"/>
            <w:i/>
            <w:color w:val="000000"/>
          </w:rPr>
          <w:t xml:space="preserve"> &amp; Social Sciences</w:t>
        </w:r>
      </w:hyperlink>
      <w:hyperlink r:id="rId88">
        <w:r w:rsidR="00A840BB">
          <w:rPr>
            <w:rFonts w:ascii="Calibri" w:eastAsia="Calibri" w:hAnsi="Calibri" w:cs="Calibri"/>
            <w:color w:val="000000"/>
          </w:rPr>
          <w:t xml:space="preserve"> 9 (3): 87–95.</w:t>
        </w:r>
      </w:hyperlink>
    </w:p>
    <w:p w14:paraId="510D57A4" w14:textId="77777777" w:rsidR="00FD6E76" w:rsidRDefault="00BF331D">
      <w:pPr>
        <w:widowControl w:val="0"/>
        <w:pBdr>
          <w:top w:val="nil"/>
          <w:left w:val="nil"/>
          <w:bottom w:val="nil"/>
          <w:right w:val="nil"/>
          <w:between w:val="nil"/>
        </w:pBdr>
        <w:spacing w:line="240" w:lineRule="auto"/>
        <w:ind w:left="440" w:hanging="440"/>
        <w:rPr>
          <w:rFonts w:ascii="Calibri" w:eastAsia="Calibri" w:hAnsi="Calibri" w:cs="Calibri"/>
          <w:color w:val="000000"/>
        </w:rPr>
      </w:pPr>
      <w:hyperlink r:id="rId89">
        <w:r w:rsidR="00A840BB">
          <w:rPr>
            <w:rFonts w:ascii="Calibri" w:eastAsia="Calibri" w:hAnsi="Calibri" w:cs="Calibri"/>
            <w:color w:val="000000"/>
          </w:rPr>
          <w:t xml:space="preserve">Burke, Sharyn R., Ray Myers, and Anthony L. Zhang. 2013. “A Profile of Osteopathic Practice in Australia 2010-2011: A Cross Sectional Survey.” </w:t>
        </w:r>
      </w:hyperlink>
      <w:hyperlink r:id="rId90">
        <w:r w:rsidR="00A840BB">
          <w:rPr>
            <w:rFonts w:ascii="Calibri" w:eastAsia="Calibri" w:hAnsi="Calibri" w:cs="Calibri"/>
            <w:i/>
            <w:color w:val="000000"/>
          </w:rPr>
          <w:t>BMC Musculoskeletal Disorders</w:t>
        </w:r>
      </w:hyperlink>
      <w:hyperlink r:id="rId91">
        <w:r w:rsidR="00A840BB">
          <w:rPr>
            <w:rFonts w:ascii="Calibri" w:eastAsia="Calibri" w:hAnsi="Calibri" w:cs="Calibri"/>
            <w:color w:val="000000"/>
          </w:rPr>
          <w:t xml:space="preserve"> 14 (August): 227.</w:t>
        </w:r>
      </w:hyperlink>
    </w:p>
    <w:p w14:paraId="07E807AC" w14:textId="77777777" w:rsidR="00FD6E76" w:rsidRDefault="00BF331D">
      <w:pPr>
        <w:widowControl w:val="0"/>
        <w:pBdr>
          <w:top w:val="nil"/>
          <w:left w:val="nil"/>
          <w:bottom w:val="nil"/>
          <w:right w:val="nil"/>
          <w:between w:val="nil"/>
        </w:pBdr>
        <w:spacing w:line="240" w:lineRule="auto"/>
        <w:ind w:left="440" w:hanging="440"/>
        <w:rPr>
          <w:rFonts w:ascii="Calibri" w:eastAsia="Calibri" w:hAnsi="Calibri" w:cs="Calibri"/>
          <w:color w:val="000000"/>
        </w:rPr>
      </w:pPr>
      <w:hyperlink r:id="rId92">
        <w:r w:rsidR="00A840BB">
          <w:rPr>
            <w:rFonts w:ascii="Calibri" w:eastAsia="Calibri" w:hAnsi="Calibri" w:cs="Calibri"/>
            <w:color w:val="000000"/>
          </w:rPr>
          <w:t xml:space="preserve">Coyne, I. T. 1997. “Sampling in Qualitative Research. Purposeful and Theoretical Sampling; Merging or Clear Boundaries?” </w:t>
        </w:r>
      </w:hyperlink>
      <w:hyperlink r:id="rId93">
        <w:r w:rsidR="00A840BB">
          <w:rPr>
            <w:rFonts w:ascii="Calibri" w:eastAsia="Calibri" w:hAnsi="Calibri" w:cs="Calibri"/>
            <w:i/>
            <w:color w:val="000000"/>
          </w:rPr>
          <w:t>Journal of Advanced Nursing</w:t>
        </w:r>
      </w:hyperlink>
      <w:hyperlink r:id="rId94">
        <w:r w:rsidR="00A840BB">
          <w:rPr>
            <w:rFonts w:ascii="Calibri" w:eastAsia="Calibri" w:hAnsi="Calibri" w:cs="Calibri"/>
            <w:color w:val="000000"/>
          </w:rPr>
          <w:t xml:space="preserve"> 26 (3): 623–30.</w:t>
        </w:r>
      </w:hyperlink>
    </w:p>
    <w:p w14:paraId="6B7B03D5" w14:textId="77777777" w:rsidR="00FD6E76" w:rsidRDefault="00BF331D">
      <w:pPr>
        <w:widowControl w:val="0"/>
        <w:pBdr>
          <w:top w:val="nil"/>
          <w:left w:val="nil"/>
          <w:bottom w:val="nil"/>
          <w:right w:val="nil"/>
          <w:between w:val="nil"/>
        </w:pBdr>
        <w:spacing w:line="240" w:lineRule="auto"/>
        <w:ind w:left="440" w:hanging="440"/>
        <w:rPr>
          <w:rFonts w:ascii="Calibri" w:eastAsia="Calibri" w:hAnsi="Calibri" w:cs="Calibri"/>
          <w:color w:val="000000"/>
        </w:rPr>
      </w:pPr>
      <w:hyperlink r:id="rId95">
        <w:r w:rsidR="00A840BB">
          <w:rPr>
            <w:rFonts w:ascii="Calibri" w:eastAsia="Calibri" w:hAnsi="Calibri" w:cs="Calibri"/>
            <w:color w:val="000000"/>
          </w:rPr>
          <w:t xml:space="preserve">Dun, Patrick L. S. van, Johan Verbeeck, Lorenzo Arcuri, Jorge E. Esteves, and Francesco Cerritelli. 2022. “The Profile of Belgian Osteopaths: A Cross-Sectional Survey.” </w:t>
        </w:r>
      </w:hyperlink>
      <w:hyperlink r:id="rId96">
        <w:r w:rsidR="00A840BB">
          <w:rPr>
            <w:rFonts w:ascii="Calibri" w:eastAsia="Calibri" w:hAnsi="Calibri" w:cs="Calibri"/>
            <w:i/>
            <w:color w:val="000000"/>
          </w:rPr>
          <w:t>Healthcare (Basel, Switzerland)</w:t>
        </w:r>
      </w:hyperlink>
      <w:hyperlink r:id="rId97">
        <w:r w:rsidR="00A840BB">
          <w:rPr>
            <w:rFonts w:ascii="Calibri" w:eastAsia="Calibri" w:hAnsi="Calibri" w:cs="Calibri"/>
            <w:color w:val="000000"/>
          </w:rPr>
          <w:t xml:space="preserve"> 10 (11). https://doi.org/</w:t>
        </w:r>
      </w:hyperlink>
      <w:hyperlink r:id="rId98">
        <w:r w:rsidR="00A840BB">
          <w:rPr>
            <w:rFonts w:ascii="Calibri" w:eastAsia="Calibri" w:hAnsi="Calibri" w:cs="Calibri"/>
            <w:color w:val="000000"/>
          </w:rPr>
          <w:t>10.3390/healthcare10112136</w:t>
        </w:r>
      </w:hyperlink>
      <w:hyperlink r:id="rId99">
        <w:r w:rsidR="00A840BB">
          <w:rPr>
            <w:rFonts w:ascii="Calibri" w:eastAsia="Calibri" w:hAnsi="Calibri" w:cs="Calibri"/>
            <w:color w:val="000000"/>
          </w:rPr>
          <w:t>.</w:t>
        </w:r>
      </w:hyperlink>
    </w:p>
    <w:p w14:paraId="694F04FA" w14:textId="77777777" w:rsidR="00FD6E76" w:rsidRDefault="00BF331D">
      <w:pPr>
        <w:widowControl w:val="0"/>
        <w:pBdr>
          <w:top w:val="nil"/>
          <w:left w:val="nil"/>
          <w:bottom w:val="nil"/>
          <w:right w:val="nil"/>
          <w:between w:val="nil"/>
        </w:pBdr>
        <w:spacing w:line="240" w:lineRule="auto"/>
        <w:ind w:left="440" w:hanging="440"/>
        <w:rPr>
          <w:rFonts w:ascii="Calibri" w:eastAsia="Calibri" w:hAnsi="Calibri" w:cs="Calibri"/>
          <w:color w:val="000000"/>
        </w:rPr>
      </w:pPr>
      <w:hyperlink r:id="rId100">
        <w:r w:rsidR="00A840BB">
          <w:rPr>
            <w:rFonts w:ascii="Calibri" w:eastAsia="Calibri" w:hAnsi="Calibri" w:cs="Calibri"/>
            <w:color w:val="000000"/>
          </w:rPr>
          <w:t xml:space="preserve">Ellwood, Julie, and Dawn Carnes. 2021. “An International Profile of the Practice of Osteopaths: A Systematic Review of Surveys.” </w:t>
        </w:r>
      </w:hyperlink>
      <w:hyperlink r:id="rId101">
        <w:r w:rsidR="00A840BB">
          <w:rPr>
            <w:rFonts w:ascii="Calibri" w:eastAsia="Calibri" w:hAnsi="Calibri" w:cs="Calibri"/>
            <w:i/>
            <w:color w:val="000000"/>
          </w:rPr>
          <w:t>International Journal of Osteopathic Medicine: IJOM</w:t>
        </w:r>
      </w:hyperlink>
      <w:hyperlink r:id="rId102">
        <w:r w:rsidR="00A840BB">
          <w:rPr>
            <w:rFonts w:ascii="Calibri" w:eastAsia="Calibri" w:hAnsi="Calibri" w:cs="Calibri"/>
            <w:color w:val="000000"/>
          </w:rPr>
          <w:t xml:space="preserve"> 40 (June): 14–</w:t>
        </w:r>
        <w:r w:rsidR="00A840BB">
          <w:rPr>
            <w:rFonts w:ascii="Calibri" w:eastAsia="Calibri" w:hAnsi="Calibri" w:cs="Calibri"/>
            <w:color w:val="000000"/>
          </w:rPr>
          <w:lastRenderedPageBreak/>
          <w:t>21.</w:t>
        </w:r>
      </w:hyperlink>
    </w:p>
    <w:p w14:paraId="177EDBBD" w14:textId="77777777" w:rsidR="00FD6E76" w:rsidRDefault="00BF331D">
      <w:pPr>
        <w:widowControl w:val="0"/>
        <w:pBdr>
          <w:top w:val="nil"/>
          <w:left w:val="nil"/>
          <w:bottom w:val="nil"/>
          <w:right w:val="nil"/>
          <w:between w:val="nil"/>
        </w:pBdr>
        <w:spacing w:line="240" w:lineRule="auto"/>
        <w:ind w:left="440" w:hanging="440"/>
        <w:rPr>
          <w:rFonts w:ascii="Calibri" w:eastAsia="Calibri" w:hAnsi="Calibri" w:cs="Calibri"/>
          <w:color w:val="000000"/>
        </w:rPr>
      </w:pPr>
      <w:hyperlink r:id="rId103">
        <w:r w:rsidR="00A840BB">
          <w:rPr>
            <w:rFonts w:ascii="Calibri" w:eastAsia="Calibri" w:hAnsi="Calibri" w:cs="Calibri"/>
            <w:color w:val="000000"/>
          </w:rPr>
          <w:t xml:space="preserve">Fish, Delia, and Colin Coles, eds. 1998. </w:t>
        </w:r>
      </w:hyperlink>
      <w:hyperlink r:id="rId104">
        <w:r w:rsidR="00A840BB">
          <w:rPr>
            <w:rFonts w:ascii="Calibri" w:eastAsia="Calibri" w:hAnsi="Calibri" w:cs="Calibri"/>
            <w:i/>
            <w:color w:val="000000"/>
          </w:rPr>
          <w:t xml:space="preserve">Developing Professional Judgement in Health </w:t>
        </w:r>
        <w:proofErr w:type="gramStart"/>
        <w:r w:rsidR="00A840BB">
          <w:rPr>
            <w:rFonts w:ascii="Calibri" w:eastAsia="Calibri" w:hAnsi="Calibri" w:cs="Calibri"/>
            <w:i/>
            <w:color w:val="000000"/>
          </w:rPr>
          <w:t>Care :</w:t>
        </w:r>
        <w:proofErr w:type="gramEnd"/>
        <w:r w:rsidR="00A840BB">
          <w:rPr>
            <w:rFonts w:ascii="Calibri" w:eastAsia="Calibri" w:hAnsi="Calibri" w:cs="Calibri"/>
            <w:i/>
            <w:color w:val="000000"/>
          </w:rPr>
          <w:t xml:space="preserve"> Learning through the Critical Appreciation of Practice</w:t>
        </w:r>
      </w:hyperlink>
      <w:hyperlink r:id="rId105">
        <w:r w:rsidR="00A840BB">
          <w:rPr>
            <w:rFonts w:ascii="Calibri" w:eastAsia="Calibri" w:hAnsi="Calibri" w:cs="Calibri"/>
            <w:color w:val="000000"/>
          </w:rPr>
          <w:t>. Oxford; Boston, Butterworth-Heinemann.</w:t>
        </w:r>
      </w:hyperlink>
    </w:p>
    <w:p w14:paraId="78C0B13B" w14:textId="77777777" w:rsidR="00FD6E76" w:rsidRDefault="00BF331D">
      <w:pPr>
        <w:widowControl w:val="0"/>
        <w:pBdr>
          <w:top w:val="nil"/>
          <w:left w:val="nil"/>
          <w:bottom w:val="nil"/>
          <w:right w:val="nil"/>
          <w:between w:val="nil"/>
        </w:pBdr>
        <w:spacing w:line="240" w:lineRule="auto"/>
        <w:ind w:left="440" w:hanging="440"/>
        <w:rPr>
          <w:rFonts w:ascii="Calibri" w:eastAsia="Calibri" w:hAnsi="Calibri" w:cs="Calibri"/>
          <w:color w:val="000000"/>
        </w:rPr>
      </w:pPr>
      <w:hyperlink r:id="rId106">
        <w:r w:rsidR="00A840BB">
          <w:rPr>
            <w:rFonts w:ascii="Calibri" w:eastAsia="Calibri" w:hAnsi="Calibri" w:cs="Calibri"/>
            <w:color w:val="000000"/>
          </w:rPr>
          <w:t xml:space="preserve">Fish, Della. 1998. </w:t>
        </w:r>
      </w:hyperlink>
      <w:hyperlink r:id="rId107">
        <w:r w:rsidR="00A840BB">
          <w:rPr>
            <w:rFonts w:ascii="Calibri" w:eastAsia="Calibri" w:hAnsi="Calibri" w:cs="Calibri"/>
            <w:i/>
            <w:color w:val="000000"/>
          </w:rPr>
          <w:t>Appreciating Practice in the Caring Professions: Refocusing Professional Development and Practitioner Research</w:t>
        </w:r>
      </w:hyperlink>
      <w:hyperlink r:id="rId108">
        <w:r w:rsidR="00A840BB">
          <w:rPr>
            <w:rFonts w:ascii="Calibri" w:eastAsia="Calibri" w:hAnsi="Calibri" w:cs="Calibri"/>
            <w:color w:val="000000"/>
          </w:rPr>
          <w:t>. Butterworth-Heinemann Medical.</w:t>
        </w:r>
      </w:hyperlink>
    </w:p>
    <w:p w14:paraId="135C20E4" w14:textId="77777777" w:rsidR="00FD6E76" w:rsidRDefault="00BF331D">
      <w:pPr>
        <w:widowControl w:val="0"/>
        <w:pBdr>
          <w:top w:val="nil"/>
          <w:left w:val="nil"/>
          <w:bottom w:val="nil"/>
          <w:right w:val="nil"/>
          <w:between w:val="nil"/>
        </w:pBdr>
        <w:spacing w:line="240" w:lineRule="auto"/>
        <w:ind w:left="440" w:hanging="440"/>
        <w:rPr>
          <w:rFonts w:ascii="Calibri" w:eastAsia="Calibri" w:hAnsi="Calibri" w:cs="Calibri"/>
          <w:color w:val="000000"/>
        </w:rPr>
      </w:pPr>
      <w:hyperlink r:id="rId109">
        <w:r w:rsidR="00A840BB">
          <w:rPr>
            <w:rFonts w:ascii="Calibri" w:eastAsia="Calibri" w:hAnsi="Calibri" w:cs="Calibri"/>
            <w:color w:val="000000"/>
          </w:rPr>
          <w:t xml:space="preserve">Grace, Sandra, Michael Fleischmann, and Brett Vaughan. 2021. “‘If You Don’t Use or Understand Visceral </w:t>
        </w:r>
        <w:proofErr w:type="gramStart"/>
        <w:r w:rsidR="00A840BB">
          <w:rPr>
            <w:rFonts w:ascii="Calibri" w:eastAsia="Calibri" w:hAnsi="Calibri" w:cs="Calibri"/>
            <w:color w:val="000000"/>
          </w:rPr>
          <w:t>Osteopathy</w:t>
        </w:r>
        <w:proofErr w:type="gramEnd"/>
        <w:r w:rsidR="00A840BB">
          <w:rPr>
            <w:rFonts w:ascii="Calibri" w:eastAsia="Calibri" w:hAnsi="Calibri" w:cs="Calibri"/>
            <w:color w:val="000000"/>
          </w:rPr>
          <w:t xml:space="preserve"> You're Not a Real Osteopath’: Professional Identity in Australian Osteopathy through the Lens of a Single Traditional Technique.” </w:t>
        </w:r>
      </w:hyperlink>
      <w:hyperlink r:id="rId110">
        <w:r w:rsidR="00A840BB">
          <w:rPr>
            <w:rFonts w:ascii="Calibri" w:eastAsia="Calibri" w:hAnsi="Calibri" w:cs="Calibri"/>
            <w:i/>
            <w:color w:val="000000"/>
          </w:rPr>
          <w:t>EXPLORE</w:t>
        </w:r>
      </w:hyperlink>
      <w:hyperlink r:id="rId111">
        <w:r w:rsidR="00A840BB">
          <w:rPr>
            <w:rFonts w:ascii="Calibri" w:eastAsia="Calibri" w:hAnsi="Calibri" w:cs="Calibri"/>
            <w:color w:val="000000"/>
          </w:rPr>
          <w:t xml:space="preserve"> 17 (6): 535–40.</w:t>
        </w:r>
      </w:hyperlink>
    </w:p>
    <w:p w14:paraId="5066996D" w14:textId="77777777" w:rsidR="00FD6E76" w:rsidRDefault="00BF331D">
      <w:pPr>
        <w:widowControl w:val="0"/>
        <w:pBdr>
          <w:top w:val="nil"/>
          <w:left w:val="nil"/>
          <w:bottom w:val="nil"/>
          <w:right w:val="nil"/>
          <w:between w:val="nil"/>
        </w:pBdr>
        <w:spacing w:line="240" w:lineRule="auto"/>
        <w:ind w:left="440" w:hanging="440"/>
        <w:rPr>
          <w:rFonts w:ascii="Calibri" w:eastAsia="Calibri" w:hAnsi="Calibri" w:cs="Calibri"/>
          <w:color w:val="000000"/>
        </w:rPr>
      </w:pPr>
      <w:hyperlink r:id="rId112">
        <w:r w:rsidR="00A840BB">
          <w:rPr>
            <w:rFonts w:ascii="Calibri" w:eastAsia="Calibri" w:hAnsi="Calibri" w:cs="Calibri"/>
            <w:color w:val="000000"/>
          </w:rPr>
          <w:t xml:space="preserve">Jones, T. L., M. A. J. Baxter, and V. </w:t>
        </w:r>
        <w:proofErr w:type="spellStart"/>
        <w:r w:rsidR="00A840BB">
          <w:rPr>
            <w:rFonts w:ascii="Calibri" w:eastAsia="Calibri" w:hAnsi="Calibri" w:cs="Calibri"/>
            <w:color w:val="000000"/>
          </w:rPr>
          <w:t>Khanduja</w:t>
        </w:r>
        <w:proofErr w:type="spellEnd"/>
        <w:r w:rsidR="00A840BB">
          <w:rPr>
            <w:rFonts w:ascii="Calibri" w:eastAsia="Calibri" w:hAnsi="Calibri" w:cs="Calibri"/>
            <w:color w:val="000000"/>
          </w:rPr>
          <w:t xml:space="preserve">. 2013. “A Quick Guide to Survey Research.” </w:t>
        </w:r>
      </w:hyperlink>
      <w:hyperlink r:id="rId113">
        <w:r w:rsidR="00A840BB">
          <w:rPr>
            <w:rFonts w:ascii="Calibri" w:eastAsia="Calibri" w:hAnsi="Calibri" w:cs="Calibri"/>
            <w:i/>
            <w:color w:val="000000"/>
          </w:rPr>
          <w:t>Annals of the Royal College of Surgeons of England</w:t>
        </w:r>
      </w:hyperlink>
      <w:hyperlink r:id="rId114">
        <w:r w:rsidR="00A840BB">
          <w:rPr>
            <w:rFonts w:ascii="Calibri" w:eastAsia="Calibri" w:hAnsi="Calibri" w:cs="Calibri"/>
            <w:color w:val="000000"/>
          </w:rPr>
          <w:t xml:space="preserve"> 95 (1): 5–7.</w:t>
        </w:r>
      </w:hyperlink>
    </w:p>
    <w:p w14:paraId="0B18D932" w14:textId="77777777" w:rsidR="00FD6E76" w:rsidRDefault="00BF331D">
      <w:pPr>
        <w:widowControl w:val="0"/>
        <w:pBdr>
          <w:top w:val="nil"/>
          <w:left w:val="nil"/>
          <w:bottom w:val="nil"/>
          <w:right w:val="nil"/>
          <w:between w:val="nil"/>
        </w:pBdr>
        <w:spacing w:line="240" w:lineRule="auto"/>
        <w:ind w:left="440" w:hanging="440"/>
        <w:rPr>
          <w:rFonts w:ascii="Calibri" w:eastAsia="Calibri" w:hAnsi="Calibri" w:cs="Calibri"/>
          <w:color w:val="000000"/>
        </w:rPr>
      </w:pPr>
      <w:hyperlink r:id="rId115">
        <w:proofErr w:type="spellStart"/>
        <w:r w:rsidR="00A840BB">
          <w:rPr>
            <w:rFonts w:ascii="Calibri" w:eastAsia="Calibri" w:hAnsi="Calibri" w:cs="Calibri"/>
            <w:color w:val="000000"/>
          </w:rPr>
          <w:t>Kleinheksel</w:t>
        </w:r>
        <w:proofErr w:type="spellEnd"/>
        <w:r w:rsidR="00A840BB">
          <w:rPr>
            <w:rFonts w:ascii="Calibri" w:eastAsia="Calibri" w:hAnsi="Calibri" w:cs="Calibri"/>
            <w:color w:val="000000"/>
          </w:rPr>
          <w:t xml:space="preserve">, A. J., Nicole </w:t>
        </w:r>
        <w:proofErr w:type="spellStart"/>
        <w:r w:rsidR="00A840BB">
          <w:rPr>
            <w:rFonts w:ascii="Calibri" w:eastAsia="Calibri" w:hAnsi="Calibri" w:cs="Calibri"/>
            <w:color w:val="000000"/>
          </w:rPr>
          <w:t>Rockich</w:t>
        </w:r>
        <w:proofErr w:type="spellEnd"/>
        <w:r w:rsidR="00A840BB">
          <w:rPr>
            <w:rFonts w:ascii="Calibri" w:eastAsia="Calibri" w:hAnsi="Calibri" w:cs="Calibri"/>
            <w:color w:val="000000"/>
          </w:rPr>
          <w:t xml:space="preserve">-Winston, Huda Tawfik, and Tasha R. Wyatt. 2020. “Demystifying Content Analysis.” </w:t>
        </w:r>
      </w:hyperlink>
      <w:hyperlink r:id="rId116">
        <w:r w:rsidR="00A840BB">
          <w:rPr>
            <w:rFonts w:ascii="Calibri" w:eastAsia="Calibri" w:hAnsi="Calibri" w:cs="Calibri"/>
            <w:i/>
            <w:color w:val="000000"/>
          </w:rPr>
          <w:t>American Journal of Pharmaceutical Education</w:t>
        </w:r>
      </w:hyperlink>
      <w:hyperlink r:id="rId117">
        <w:r w:rsidR="00A840BB">
          <w:rPr>
            <w:rFonts w:ascii="Calibri" w:eastAsia="Calibri" w:hAnsi="Calibri" w:cs="Calibri"/>
            <w:color w:val="000000"/>
          </w:rPr>
          <w:t xml:space="preserve"> 84 (1): 7113.</w:t>
        </w:r>
      </w:hyperlink>
    </w:p>
    <w:p w14:paraId="53510A89" w14:textId="77777777" w:rsidR="00FD6E76" w:rsidRDefault="00BF331D">
      <w:pPr>
        <w:widowControl w:val="0"/>
        <w:pBdr>
          <w:top w:val="nil"/>
          <w:left w:val="nil"/>
          <w:bottom w:val="nil"/>
          <w:right w:val="nil"/>
          <w:between w:val="nil"/>
        </w:pBdr>
        <w:spacing w:line="240" w:lineRule="auto"/>
        <w:ind w:left="440" w:hanging="440"/>
        <w:rPr>
          <w:rFonts w:ascii="Calibri" w:eastAsia="Calibri" w:hAnsi="Calibri" w:cs="Calibri"/>
          <w:color w:val="000000"/>
        </w:rPr>
      </w:pPr>
      <w:hyperlink r:id="rId118">
        <w:r w:rsidR="00A840BB">
          <w:rPr>
            <w:rFonts w:ascii="Calibri" w:eastAsia="Calibri" w:hAnsi="Calibri" w:cs="Calibri"/>
            <w:color w:val="000000"/>
          </w:rPr>
          <w:t xml:space="preserve">Mcleod, Saul. 2022. “Cognitive Interview Technique.” </w:t>
        </w:r>
      </w:hyperlink>
      <w:hyperlink r:id="rId119">
        <w:r w:rsidR="00A840BB">
          <w:rPr>
            <w:rFonts w:ascii="Calibri" w:eastAsia="Calibri" w:hAnsi="Calibri" w:cs="Calibri"/>
            <w:i/>
            <w:color w:val="000000"/>
          </w:rPr>
          <w:t>Simply Psychology</w:t>
        </w:r>
      </w:hyperlink>
      <w:hyperlink r:id="rId120">
        <w:r w:rsidR="00A840BB">
          <w:rPr>
            <w:rFonts w:ascii="Calibri" w:eastAsia="Calibri" w:hAnsi="Calibri" w:cs="Calibri"/>
            <w:color w:val="000000"/>
          </w:rPr>
          <w:t xml:space="preserve">, November. </w:t>
        </w:r>
      </w:hyperlink>
      <w:hyperlink r:id="rId121">
        <w:r w:rsidR="00A840BB">
          <w:rPr>
            <w:rFonts w:ascii="Calibri" w:eastAsia="Calibri" w:hAnsi="Calibri" w:cs="Calibri"/>
            <w:color w:val="000000"/>
          </w:rPr>
          <w:t>https://www.simplypsychology.org/cognitive-interview.html</w:t>
        </w:r>
      </w:hyperlink>
      <w:hyperlink r:id="rId122">
        <w:r w:rsidR="00A840BB">
          <w:rPr>
            <w:rFonts w:ascii="Calibri" w:eastAsia="Calibri" w:hAnsi="Calibri" w:cs="Calibri"/>
            <w:color w:val="000000"/>
          </w:rPr>
          <w:t>.</w:t>
        </w:r>
      </w:hyperlink>
    </w:p>
    <w:p w14:paraId="670E0C86" w14:textId="77777777" w:rsidR="00FD6E76" w:rsidRDefault="00BF331D">
      <w:pPr>
        <w:widowControl w:val="0"/>
        <w:pBdr>
          <w:top w:val="nil"/>
          <w:left w:val="nil"/>
          <w:bottom w:val="nil"/>
          <w:right w:val="nil"/>
          <w:between w:val="nil"/>
        </w:pBdr>
        <w:spacing w:line="240" w:lineRule="auto"/>
        <w:ind w:left="440" w:hanging="440"/>
        <w:rPr>
          <w:rFonts w:ascii="Calibri" w:eastAsia="Calibri" w:hAnsi="Calibri" w:cs="Calibri"/>
          <w:color w:val="000000"/>
        </w:rPr>
      </w:pPr>
      <w:hyperlink r:id="rId123">
        <w:r w:rsidR="00A840BB">
          <w:rPr>
            <w:rFonts w:ascii="Calibri" w:eastAsia="Calibri" w:hAnsi="Calibri" w:cs="Calibri"/>
            <w:color w:val="000000"/>
          </w:rPr>
          <w:t xml:space="preserve">O’Keeffe, Mary, Paul Cullinane, John Hurley, Irene Leahy, Samantha </w:t>
        </w:r>
        <w:proofErr w:type="spellStart"/>
        <w:r w:rsidR="00A840BB">
          <w:rPr>
            <w:rFonts w:ascii="Calibri" w:eastAsia="Calibri" w:hAnsi="Calibri" w:cs="Calibri"/>
            <w:color w:val="000000"/>
          </w:rPr>
          <w:t>Bunzli</w:t>
        </w:r>
        <w:proofErr w:type="spellEnd"/>
        <w:r w:rsidR="00A840BB">
          <w:rPr>
            <w:rFonts w:ascii="Calibri" w:eastAsia="Calibri" w:hAnsi="Calibri" w:cs="Calibri"/>
            <w:color w:val="000000"/>
          </w:rPr>
          <w:t xml:space="preserve">, Peter B. O’Sullivan, and Kieran O’Sullivan. 2016. “What Influences Patient-Therapist Interactions in Musculoskeletal Physical Therapy? Qualitative Systematic Review and Meta-Synthesis.” </w:t>
        </w:r>
      </w:hyperlink>
      <w:hyperlink r:id="rId124">
        <w:r w:rsidR="00A840BB">
          <w:rPr>
            <w:rFonts w:ascii="Calibri" w:eastAsia="Calibri" w:hAnsi="Calibri" w:cs="Calibri"/>
            <w:i/>
            <w:color w:val="000000"/>
          </w:rPr>
          <w:t>Physical Therapy</w:t>
        </w:r>
      </w:hyperlink>
      <w:hyperlink r:id="rId125">
        <w:r w:rsidR="00A840BB">
          <w:rPr>
            <w:rFonts w:ascii="Calibri" w:eastAsia="Calibri" w:hAnsi="Calibri" w:cs="Calibri"/>
            <w:color w:val="000000"/>
          </w:rPr>
          <w:t xml:space="preserve"> 96 (5): 609–22.</w:t>
        </w:r>
      </w:hyperlink>
    </w:p>
    <w:p w14:paraId="210359F5" w14:textId="77777777" w:rsidR="00FD6E76" w:rsidRDefault="00BF331D">
      <w:pPr>
        <w:widowControl w:val="0"/>
        <w:pBdr>
          <w:top w:val="nil"/>
          <w:left w:val="nil"/>
          <w:bottom w:val="nil"/>
          <w:right w:val="nil"/>
          <w:between w:val="nil"/>
        </w:pBdr>
        <w:spacing w:line="240" w:lineRule="auto"/>
        <w:ind w:left="440" w:hanging="440"/>
        <w:rPr>
          <w:rFonts w:ascii="Calibri" w:eastAsia="Calibri" w:hAnsi="Calibri" w:cs="Calibri"/>
          <w:color w:val="000000"/>
        </w:rPr>
      </w:pPr>
      <w:hyperlink r:id="rId126">
        <w:proofErr w:type="spellStart"/>
        <w:r w:rsidR="00A840BB">
          <w:rPr>
            <w:rFonts w:ascii="Calibri" w:eastAsia="Calibri" w:hAnsi="Calibri" w:cs="Calibri"/>
            <w:color w:val="000000"/>
          </w:rPr>
          <w:t>Orrock</w:t>
        </w:r>
        <w:proofErr w:type="spellEnd"/>
        <w:r w:rsidR="00A840BB">
          <w:rPr>
            <w:rFonts w:ascii="Calibri" w:eastAsia="Calibri" w:hAnsi="Calibri" w:cs="Calibri"/>
            <w:color w:val="000000"/>
          </w:rPr>
          <w:t xml:space="preserve">, Paul. 2009. “Profile of Members of the Australian Osteopathic Association: Part 1 – The Practitioners.” </w:t>
        </w:r>
      </w:hyperlink>
      <w:hyperlink r:id="rId127">
        <w:r w:rsidR="00A840BB">
          <w:rPr>
            <w:rFonts w:ascii="Calibri" w:eastAsia="Calibri" w:hAnsi="Calibri" w:cs="Calibri"/>
            <w:i/>
            <w:color w:val="000000"/>
          </w:rPr>
          <w:t>International Journal of Osteopathic Medicine: IJOM</w:t>
        </w:r>
      </w:hyperlink>
      <w:hyperlink r:id="rId128">
        <w:r w:rsidR="00A840BB">
          <w:rPr>
            <w:rFonts w:ascii="Calibri" w:eastAsia="Calibri" w:hAnsi="Calibri" w:cs="Calibri"/>
            <w:color w:val="000000"/>
          </w:rPr>
          <w:t xml:space="preserve"> 12 (1): 14–24.</w:t>
        </w:r>
      </w:hyperlink>
    </w:p>
    <w:p w14:paraId="189EC75A" w14:textId="77777777" w:rsidR="00FD6E76" w:rsidRDefault="00BF331D">
      <w:pPr>
        <w:widowControl w:val="0"/>
        <w:pBdr>
          <w:top w:val="nil"/>
          <w:left w:val="nil"/>
          <w:bottom w:val="nil"/>
          <w:right w:val="nil"/>
          <w:between w:val="nil"/>
        </w:pBdr>
        <w:spacing w:line="240" w:lineRule="auto"/>
        <w:ind w:left="440" w:hanging="440"/>
        <w:rPr>
          <w:rFonts w:ascii="Calibri" w:eastAsia="Calibri" w:hAnsi="Calibri" w:cs="Calibri"/>
          <w:color w:val="000000"/>
        </w:rPr>
      </w:pPr>
      <w:hyperlink r:id="rId129">
        <w:r w:rsidR="00A840BB">
          <w:rPr>
            <w:rFonts w:ascii="Calibri" w:eastAsia="Calibri" w:hAnsi="Calibri" w:cs="Calibri"/>
            <w:color w:val="000000"/>
          </w:rPr>
          <w:t xml:space="preserve">“Osteopathy Board of Australia.” n.d. Accessed August 16, 2023. </w:t>
        </w:r>
      </w:hyperlink>
      <w:hyperlink r:id="rId130">
        <w:r w:rsidR="00A840BB">
          <w:rPr>
            <w:rFonts w:ascii="Calibri" w:eastAsia="Calibri" w:hAnsi="Calibri" w:cs="Calibri"/>
            <w:color w:val="000000"/>
          </w:rPr>
          <w:t>https://www.osteopathyboard.gov.au/</w:t>
        </w:r>
      </w:hyperlink>
      <w:hyperlink r:id="rId131">
        <w:r w:rsidR="00A840BB">
          <w:rPr>
            <w:rFonts w:ascii="Calibri" w:eastAsia="Calibri" w:hAnsi="Calibri" w:cs="Calibri"/>
            <w:color w:val="000000"/>
          </w:rPr>
          <w:t>.</w:t>
        </w:r>
      </w:hyperlink>
    </w:p>
    <w:p w14:paraId="1E5275C7" w14:textId="77777777" w:rsidR="00FD6E76" w:rsidRDefault="00BF331D">
      <w:pPr>
        <w:widowControl w:val="0"/>
        <w:pBdr>
          <w:top w:val="nil"/>
          <w:left w:val="nil"/>
          <w:bottom w:val="nil"/>
          <w:right w:val="nil"/>
          <w:between w:val="nil"/>
        </w:pBdr>
        <w:spacing w:line="240" w:lineRule="auto"/>
        <w:ind w:left="440" w:hanging="440"/>
        <w:rPr>
          <w:rFonts w:ascii="Calibri" w:eastAsia="Calibri" w:hAnsi="Calibri" w:cs="Calibri"/>
          <w:color w:val="000000"/>
        </w:rPr>
      </w:pPr>
      <w:hyperlink r:id="rId132">
        <w:r w:rsidR="00A840BB">
          <w:rPr>
            <w:rFonts w:ascii="Calibri" w:eastAsia="Calibri" w:hAnsi="Calibri" w:cs="Calibri"/>
            <w:color w:val="000000"/>
          </w:rPr>
          <w:t xml:space="preserve">“Otter.Ai - Voice Meeting Notes &amp; Real-Time Transcription.” n.d. Accessed October 8, 2023. </w:t>
        </w:r>
      </w:hyperlink>
      <w:hyperlink r:id="rId133">
        <w:r w:rsidR="00A840BB">
          <w:rPr>
            <w:rFonts w:ascii="Calibri" w:eastAsia="Calibri" w:hAnsi="Calibri" w:cs="Calibri"/>
            <w:color w:val="000000"/>
          </w:rPr>
          <w:t>https://otter.ai/</w:t>
        </w:r>
      </w:hyperlink>
      <w:hyperlink r:id="rId134">
        <w:r w:rsidR="00A840BB">
          <w:rPr>
            <w:rFonts w:ascii="Calibri" w:eastAsia="Calibri" w:hAnsi="Calibri" w:cs="Calibri"/>
            <w:color w:val="000000"/>
          </w:rPr>
          <w:t>.</w:t>
        </w:r>
      </w:hyperlink>
    </w:p>
    <w:p w14:paraId="5C7D21F7" w14:textId="77777777" w:rsidR="00FD6E76" w:rsidRDefault="00BF331D">
      <w:pPr>
        <w:widowControl w:val="0"/>
        <w:pBdr>
          <w:top w:val="nil"/>
          <w:left w:val="nil"/>
          <w:bottom w:val="nil"/>
          <w:right w:val="nil"/>
          <w:between w:val="nil"/>
        </w:pBdr>
        <w:spacing w:line="240" w:lineRule="auto"/>
        <w:ind w:left="440" w:hanging="440"/>
        <w:rPr>
          <w:rFonts w:ascii="Calibri" w:eastAsia="Calibri" w:hAnsi="Calibri" w:cs="Calibri"/>
          <w:color w:val="000000"/>
        </w:rPr>
      </w:pPr>
      <w:hyperlink r:id="rId135">
        <w:r w:rsidR="00A840BB">
          <w:rPr>
            <w:rFonts w:ascii="Calibri" w:eastAsia="Calibri" w:hAnsi="Calibri" w:cs="Calibri"/>
            <w:color w:val="000000"/>
          </w:rPr>
          <w:t xml:space="preserve">Petty, Nicola J., Oliver P. Thomson, and Graham Stew. 2012. “Ready for a Paradigm Shift? Part 2: Introducing Qualitative Research Methodologies and Methods.” </w:t>
        </w:r>
      </w:hyperlink>
      <w:hyperlink r:id="rId136">
        <w:r w:rsidR="00A840BB">
          <w:rPr>
            <w:rFonts w:ascii="Calibri" w:eastAsia="Calibri" w:hAnsi="Calibri" w:cs="Calibri"/>
            <w:i/>
            <w:color w:val="000000"/>
          </w:rPr>
          <w:t>Manual Therapy</w:t>
        </w:r>
      </w:hyperlink>
      <w:hyperlink r:id="rId137">
        <w:r w:rsidR="00A840BB">
          <w:rPr>
            <w:rFonts w:ascii="Calibri" w:eastAsia="Calibri" w:hAnsi="Calibri" w:cs="Calibri"/>
            <w:color w:val="000000"/>
          </w:rPr>
          <w:t xml:space="preserve"> 17 (5): 378–84.</w:t>
        </w:r>
      </w:hyperlink>
    </w:p>
    <w:p w14:paraId="478CF64B" w14:textId="77777777" w:rsidR="00FD6E76" w:rsidRDefault="00BF331D">
      <w:pPr>
        <w:widowControl w:val="0"/>
        <w:pBdr>
          <w:top w:val="nil"/>
          <w:left w:val="nil"/>
          <w:bottom w:val="nil"/>
          <w:right w:val="nil"/>
          <w:between w:val="nil"/>
        </w:pBdr>
        <w:spacing w:line="240" w:lineRule="auto"/>
        <w:ind w:left="440" w:hanging="440"/>
        <w:rPr>
          <w:rFonts w:ascii="Calibri" w:eastAsia="Calibri" w:hAnsi="Calibri" w:cs="Calibri"/>
          <w:color w:val="000000"/>
        </w:rPr>
      </w:pPr>
      <w:hyperlink r:id="rId138">
        <w:r w:rsidR="00A840BB">
          <w:rPr>
            <w:rFonts w:ascii="Calibri" w:eastAsia="Calibri" w:hAnsi="Calibri" w:cs="Calibri"/>
            <w:color w:val="000000"/>
          </w:rPr>
          <w:t>Pincus, Tamar, Steven Vogel, Rita Santos, Alan Breen, Nadine Foster, and Martin Underwood. 2006. “The Attitudes to Back Pain Scale in Musculoskeletal Practitioners (ABS-</w:t>
        </w:r>
        <w:proofErr w:type="spellStart"/>
        <w:r w:rsidR="00A840BB">
          <w:rPr>
            <w:rFonts w:ascii="Calibri" w:eastAsia="Calibri" w:hAnsi="Calibri" w:cs="Calibri"/>
            <w:color w:val="000000"/>
          </w:rPr>
          <w:t>Mp</w:t>
        </w:r>
        <w:proofErr w:type="spellEnd"/>
        <w:r w:rsidR="00A840BB">
          <w:rPr>
            <w:rFonts w:ascii="Calibri" w:eastAsia="Calibri" w:hAnsi="Calibri" w:cs="Calibri"/>
            <w:color w:val="000000"/>
          </w:rPr>
          <w:t xml:space="preserve">): The Development and Testing of a New Questionnaire.” </w:t>
        </w:r>
      </w:hyperlink>
      <w:hyperlink r:id="rId139">
        <w:r w:rsidR="00A840BB">
          <w:rPr>
            <w:rFonts w:ascii="Calibri" w:eastAsia="Calibri" w:hAnsi="Calibri" w:cs="Calibri"/>
            <w:i/>
            <w:color w:val="000000"/>
          </w:rPr>
          <w:t>The Clinical Journal of Pain</w:t>
        </w:r>
      </w:hyperlink>
      <w:hyperlink r:id="rId140">
        <w:r w:rsidR="00A840BB">
          <w:rPr>
            <w:rFonts w:ascii="Calibri" w:eastAsia="Calibri" w:hAnsi="Calibri" w:cs="Calibri"/>
            <w:color w:val="000000"/>
          </w:rPr>
          <w:t xml:space="preserve"> 22 (4): 378–86.</w:t>
        </w:r>
      </w:hyperlink>
    </w:p>
    <w:p w14:paraId="05D174DD" w14:textId="77777777" w:rsidR="00FD6E76" w:rsidRDefault="00BF331D">
      <w:pPr>
        <w:widowControl w:val="0"/>
        <w:pBdr>
          <w:top w:val="nil"/>
          <w:left w:val="nil"/>
          <w:bottom w:val="nil"/>
          <w:right w:val="nil"/>
          <w:between w:val="nil"/>
        </w:pBdr>
        <w:spacing w:line="240" w:lineRule="auto"/>
        <w:ind w:left="440" w:hanging="440"/>
        <w:rPr>
          <w:rFonts w:ascii="Calibri" w:eastAsia="Calibri" w:hAnsi="Calibri" w:cs="Calibri"/>
          <w:color w:val="000000"/>
        </w:rPr>
      </w:pPr>
      <w:hyperlink r:id="rId141">
        <w:r w:rsidR="00A840BB">
          <w:rPr>
            <w:rFonts w:ascii="Calibri" w:eastAsia="Calibri" w:hAnsi="Calibri" w:cs="Calibri"/>
            <w:color w:val="000000"/>
          </w:rPr>
          <w:t xml:space="preserve">Plunkett, Austin, Carol Fawkes, and Dawn Carnes. 2022. “Osteopathic Practice in the United Kingdom: A Retrospective Analysis of Practice Data.” </w:t>
        </w:r>
      </w:hyperlink>
      <w:hyperlink r:id="rId142">
        <w:proofErr w:type="spellStart"/>
        <w:r w:rsidR="00A840BB">
          <w:rPr>
            <w:rFonts w:ascii="Calibri" w:eastAsia="Calibri" w:hAnsi="Calibri" w:cs="Calibri"/>
            <w:i/>
            <w:color w:val="000000"/>
          </w:rPr>
          <w:t>PloS</w:t>
        </w:r>
        <w:proofErr w:type="spellEnd"/>
        <w:r w:rsidR="00A840BB">
          <w:rPr>
            <w:rFonts w:ascii="Calibri" w:eastAsia="Calibri" w:hAnsi="Calibri" w:cs="Calibri"/>
            <w:i/>
            <w:color w:val="000000"/>
          </w:rPr>
          <w:t xml:space="preserve"> One</w:t>
        </w:r>
      </w:hyperlink>
      <w:hyperlink r:id="rId143">
        <w:r w:rsidR="00A840BB">
          <w:rPr>
            <w:rFonts w:ascii="Calibri" w:eastAsia="Calibri" w:hAnsi="Calibri" w:cs="Calibri"/>
            <w:color w:val="000000"/>
          </w:rPr>
          <w:t xml:space="preserve"> 17 (7): e0270806.</w:t>
        </w:r>
      </w:hyperlink>
    </w:p>
    <w:p w14:paraId="4F7CFF0D" w14:textId="77777777" w:rsidR="00FD6E76" w:rsidRDefault="00BF331D">
      <w:pPr>
        <w:widowControl w:val="0"/>
        <w:pBdr>
          <w:top w:val="nil"/>
          <w:left w:val="nil"/>
          <w:bottom w:val="nil"/>
          <w:right w:val="nil"/>
          <w:between w:val="nil"/>
        </w:pBdr>
        <w:spacing w:line="240" w:lineRule="auto"/>
        <w:ind w:left="440" w:hanging="440"/>
        <w:rPr>
          <w:rFonts w:ascii="Calibri" w:eastAsia="Calibri" w:hAnsi="Calibri" w:cs="Calibri"/>
          <w:color w:val="000000"/>
        </w:rPr>
      </w:pPr>
      <w:hyperlink r:id="rId144">
        <w:r w:rsidR="00A840BB">
          <w:rPr>
            <w:rFonts w:ascii="Calibri" w:eastAsia="Calibri" w:hAnsi="Calibri" w:cs="Calibri"/>
            <w:color w:val="000000"/>
          </w:rPr>
          <w:t xml:space="preserve">Ryan, Katherine, Nora Gannon-Slater, and Michael J. Culbertson. 2012. “Improving Survey Methods </w:t>
        </w:r>
        <w:proofErr w:type="gramStart"/>
        <w:r w:rsidR="00A840BB">
          <w:rPr>
            <w:rFonts w:ascii="Calibri" w:eastAsia="Calibri" w:hAnsi="Calibri" w:cs="Calibri"/>
            <w:color w:val="000000"/>
          </w:rPr>
          <w:t>With</w:t>
        </w:r>
        <w:proofErr w:type="gramEnd"/>
        <w:r w:rsidR="00A840BB">
          <w:rPr>
            <w:rFonts w:ascii="Calibri" w:eastAsia="Calibri" w:hAnsi="Calibri" w:cs="Calibri"/>
            <w:color w:val="000000"/>
          </w:rPr>
          <w:t xml:space="preserve"> Cognitive Interviews in Small- and Medium-Scale Evaluations.” </w:t>
        </w:r>
      </w:hyperlink>
      <w:hyperlink r:id="rId145">
        <w:r w:rsidR="00A840BB">
          <w:rPr>
            <w:rFonts w:ascii="Calibri" w:eastAsia="Calibri" w:hAnsi="Calibri" w:cs="Calibri"/>
            <w:i/>
            <w:color w:val="000000"/>
          </w:rPr>
          <w:t>American Journal of Evaluation</w:t>
        </w:r>
      </w:hyperlink>
      <w:hyperlink r:id="rId146">
        <w:r w:rsidR="00A840BB">
          <w:rPr>
            <w:rFonts w:ascii="Calibri" w:eastAsia="Calibri" w:hAnsi="Calibri" w:cs="Calibri"/>
            <w:color w:val="000000"/>
          </w:rPr>
          <w:t xml:space="preserve"> 33 (3): 414–30.</w:t>
        </w:r>
      </w:hyperlink>
    </w:p>
    <w:p w14:paraId="09517B7B" w14:textId="77777777" w:rsidR="00FD6E76" w:rsidRDefault="00BF331D">
      <w:pPr>
        <w:widowControl w:val="0"/>
        <w:pBdr>
          <w:top w:val="nil"/>
          <w:left w:val="nil"/>
          <w:bottom w:val="nil"/>
          <w:right w:val="nil"/>
          <w:between w:val="nil"/>
        </w:pBdr>
        <w:spacing w:line="240" w:lineRule="auto"/>
        <w:ind w:left="440" w:hanging="440"/>
        <w:rPr>
          <w:rFonts w:ascii="Calibri" w:eastAsia="Calibri" w:hAnsi="Calibri" w:cs="Calibri"/>
          <w:color w:val="000000"/>
        </w:rPr>
      </w:pPr>
      <w:hyperlink r:id="rId147">
        <w:r w:rsidR="00A840BB">
          <w:rPr>
            <w:rFonts w:ascii="Calibri" w:eastAsia="Calibri" w:hAnsi="Calibri" w:cs="Calibri"/>
            <w:color w:val="000000"/>
          </w:rPr>
          <w:t xml:space="preserve">Santiago, Rui José, Alexandre Nunes, Jorge Eduardo Esteves, Francesco </w:t>
        </w:r>
        <w:proofErr w:type="spellStart"/>
        <w:r w:rsidR="00A840BB">
          <w:rPr>
            <w:rFonts w:ascii="Calibri" w:eastAsia="Calibri" w:hAnsi="Calibri" w:cs="Calibri"/>
            <w:color w:val="000000"/>
          </w:rPr>
          <w:t>Cerritelli</w:t>
        </w:r>
        <w:proofErr w:type="spellEnd"/>
        <w:r w:rsidR="00A840BB">
          <w:rPr>
            <w:rFonts w:ascii="Calibri" w:eastAsia="Calibri" w:hAnsi="Calibri" w:cs="Calibri"/>
            <w:color w:val="000000"/>
          </w:rPr>
          <w:t xml:space="preserve">, Johan </w:t>
        </w:r>
        <w:proofErr w:type="spellStart"/>
        <w:r w:rsidR="00A840BB">
          <w:rPr>
            <w:rFonts w:ascii="Calibri" w:eastAsia="Calibri" w:hAnsi="Calibri" w:cs="Calibri"/>
            <w:color w:val="000000"/>
          </w:rPr>
          <w:t>Verbeeck</w:t>
        </w:r>
        <w:proofErr w:type="spellEnd"/>
        <w:r w:rsidR="00A840BB">
          <w:rPr>
            <w:rFonts w:ascii="Calibri" w:eastAsia="Calibri" w:hAnsi="Calibri" w:cs="Calibri"/>
            <w:color w:val="000000"/>
          </w:rPr>
          <w:t xml:space="preserve">, </w:t>
        </w:r>
        <w:proofErr w:type="spellStart"/>
        <w:r w:rsidR="00A840BB">
          <w:rPr>
            <w:rFonts w:ascii="Calibri" w:eastAsia="Calibri" w:hAnsi="Calibri" w:cs="Calibri"/>
            <w:color w:val="000000"/>
          </w:rPr>
          <w:t>Sónia</w:t>
        </w:r>
        <w:proofErr w:type="spellEnd"/>
        <w:r w:rsidR="00A840BB">
          <w:rPr>
            <w:rFonts w:ascii="Calibri" w:eastAsia="Calibri" w:hAnsi="Calibri" w:cs="Calibri"/>
            <w:color w:val="000000"/>
          </w:rPr>
          <w:t xml:space="preserve"> Lopes, Manuel </w:t>
        </w:r>
        <w:proofErr w:type="spellStart"/>
        <w:r w:rsidR="00A840BB">
          <w:rPr>
            <w:rFonts w:ascii="Calibri" w:eastAsia="Calibri" w:hAnsi="Calibri" w:cs="Calibri"/>
            <w:color w:val="000000"/>
          </w:rPr>
          <w:t>Paquete</w:t>
        </w:r>
        <w:proofErr w:type="spellEnd"/>
        <w:r w:rsidR="00A840BB">
          <w:rPr>
            <w:rFonts w:ascii="Calibri" w:eastAsia="Calibri" w:hAnsi="Calibri" w:cs="Calibri"/>
            <w:color w:val="000000"/>
          </w:rPr>
          <w:t xml:space="preserve">, and Patrick van Dun. 2022. “The Portuguese Osteopathic Practitioners Estimates and </w:t>
        </w:r>
        <w:proofErr w:type="spellStart"/>
        <w:r w:rsidR="00A840BB">
          <w:rPr>
            <w:rFonts w:ascii="Calibri" w:eastAsia="Calibri" w:hAnsi="Calibri" w:cs="Calibri"/>
            <w:color w:val="000000"/>
          </w:rPr>
          <w:t>RAtes</w:t>
        </w:r>
        <w:proofErr w:type="spellEnd"/>
        <w:r w:rsidR="00A840BB">
          <w:rPr>
            <w:rFonts w:ascii="Calibri" w:eastAsia="Calibri" w:hAnsi="Calibri" w:cs="Calibri"/>
            <w:color w:val="000000"/>
          </w:rPr>
          <w:t xml:space="preserve"> (OPERA): A Cross-Sectional Survey.” </w:t>
        </w:r>
      </w:hyperlink>
      <w:hyperlink r:id="rId148">
        <w:r w:rsidR="00A840BB">
          <w:rPr>
            <w:rFonts w:ascii="Calibri" w:eastAsia="Calibri" w:hAnsi="Calibri" w:cs="Calibri"/>
            <w:i/>
            <w:color w:val="000000"/>
          </w:rPr>
          <w:t>International Journal of Osteopathic Medicine: IJOM</w:t>
        </w:r>
      </w:hyperlink>
      <w:hyperlink r:id="rId149">
        <w:r w:rsidR="00A840BB">
          <w:rPr>
            <w:rFonts w:ascii="Calibri" w:eastAsia="Calibri" w:hAnsi="Calibri" w:cs="Calibri"/>
            <w:color w:val="000000"/>
          </w:rPr>
          <w:t xml:space="preserve"> 43 (March): 23–30.</w:t>
        </w:r>
      </w:hyperlink>
    </w:p>
    <w:p w14:paraId="15FAC46D" w14:textId="77777777" w:rsidR="00FD6E76" w:rsidRDefault="00BF331D">
      <w:pPr>
        <w:widowControl w:val="0"/>
        <w:pBdr>
          <w:top w:val="nil"/>
          <w:left w:val="nil"/>
          <w:bottom w:val="nil"/>
          <w:right w:val="nil"/>
          <w:between w:val="nil"/>
        </w:pBdr>
        <w:spacing w:line="240" w:lineRule="auto"/>
        <w:ind w:left="440" w:hanging="440"/>
        <w:rPr>
          <w:rFonts w:ascii="Calibri" w:eastAsia="Calibri" w:hAnsi="Calibri" w:cs="Calibri"/>
          <w:color w:val="000000"/>
        </w:rPr>
      </w:pPr>
      <w:hyperlink r:id="rId150">
        <w:r w:rsidR="00A840BB">
          <w:rPr>
            <w:rFonts w:ascii="Calibri" w:eastAsia="Calibri" w:hAnsi="Calibri" w:cs="Calibri"/>
            <w:color w:val="000000"/>
          </w:rPr>
          <w:t xml:space="preserve">Schön, Donald A. 1987. “Educating the Reflective Practitioner: Toward a New Design for Teaching and Learning in the Professions.” </w:t>
        </w:r>
      </w:hyperlink>
      <w:hyperlink r:id="rId151">
        <w:r w:rsidR="00A840BB">
          <w:rPr>
            <w:rFonts w:ascii="Calibri" w:eastAsia="Calibri" w:hAnsi="Calibri" w:cs="Calibri"/>
            <w:i/>
            <w:color w:val="000000"/>
          </w:rPr>
          <w:t>Jossey-Bass Higher Education Series.</w:t>
        </w:r>
      </w:hyperlink>
      <w:hyperlink r:id="rId152">
        <w:r w:rsidR="00A840BB">
          <w:rPr>
            <w:rFonts w:ascii="Calibri" w:eastAsia="Calibri" w:hAnsi="Calibri" w:cs="Calibri"/>
            <w:color w:val="000000"/>
          </w:rPr>
          <w:t xml:space="preserve"> 355. </w:t>
        </w:r>
      </w:hyperlink>
      <w:hyperlink r:id="rId153">
        <w:r w:rsidR="00A840BB">
          <w:rPr>
            <w:rFonts w:ascii="Calibri" w:eastAsia="Calibri" w:hAnsi="Calibri" w:cs="Calibri"/>
            <w:color w:val="000000"/>
          </w:rPr>
          <w:t>https://psycnet.apa.org/fulltext/1987-97655-000.pdf</w:t>
        </w:r>
      </w:hyperlink>
      <w:hyperlink r:id="rId154">
        <w:r w:rsidR="00A840BB">
          <w:rPr>
            <w:rFonts w:ascii="Calibri" w:eastAsia="Calibri" w:hAnsi="Calibri" w:cs="Calibri"/>
            <w:color w:val="000000"/>
          </w:rPr>
          <w:t>.</w:t>
        </w:r>
      </w:hyperlink>
    </w:p>
    <w:p w14:paraId="504E398D" w14:textId="77777777" w:rsidR="00FD6E76" w:rsidRDefault="00BF331D">
      <w:pPr>
        <w:widowControl w:val="0"/>
        <w:pBdr>
          <w:top w:val="nil"/>
          <w:left w:val="nil"/>
          <w:bottom w:val="nil"/>
          <w:right w:val="nil"/>
          <w:between w:val="nil"/>
        </w:pBdr>
        <w:spacing w:line="240" w:lineRule="auto"/>
        <w:ind w:left="440" w:hanging="440"/>
        <w:rPr>
          <w:rFonts w:ascii="Calibri" w:eastAsia="Calibri" w:hAnsi="Calibri" w:cs="Calibri"/>
          <w:color w:val="000000"/>
        </w:rPr>
      </w:pPr>
      <w:hyperlink r:id="rId155">
        <w:r w:rsidR="00A840BB">
          <w:rPr>
            <w:rFonts w:ascii="Calibri" w:eastAsia="Calibri" w:hAnsi="Calibri" w:cs="Calibri"/>
            <w:color w:val="000000"/>
          </w:rPr>
          <w:t xml:space="preserve">Thomson, Oliver. 2013. “Clinical Decision Making and Therapeutic Approaches of Experienced Osteopaths.” University of Brighton. </w:t>
        </w:r>
      </w:hyperlink>
      <w:hyperlink r:id="rId156">
        <w:r w:rsidR="00A840BB">
          <w:rPr>
            <w:rFonts w:ascii="Calibri" w:eastAsia="Calibri" w:hAnsi="Calibri" w:cs="Calibri"/>
            <w:color w:val="000000"/>
          </w:rPr>
          <w:t>https://ethos.bl.uk/OrderDetails.do?uin=uk.bl.ethos.619015</w:t>
        </w:r>
      </w:hyperlink>
      <w:hyperlink r:id="rId157">
        <w:r w:rsidR="00A840BB">
          <w:rPr>
            <w:rFonts w:ascii="Calibri" w:eastAsia="Calibri" w:hAnsi="Calibri" w:cs="Calibri"/>
            <w:color w:val="000000"/>
          </w:rPr>
          <w:t>.</w:t>
        </w:r>
      </w:hyperlink>
    </w:p>
    <w:p w14:paraId="6402B9A7" w14:textId="77777777" w:rsidR="00FD6E76" w:rsidRDefault="00BF331D">
      <w:pPr>
        <w:widowControl w:val="0"/>
        <w:pBdr>
          <w:top w:val="nil"/>
          <w:left w:val="nil"/>
          <w:bottom w:val="nil"/>
          <w:right w:val="nil"/>
          <w:between w:val="nil"/>
        </w:pBdr>
        <w:spacing w:line="240" w:lineRule="auto"/>
        <w:ind w:left="440" w:hanging="440"/>
        <w:rPr>
          <w:rFonts w:ascii="Calibri" w:eastAsia="Calibri" w:hAnsi="Calibri" w:cs="Calibri"/>
          <w:color w:val="000000"/>
        </w:rPr>
      </w:pPr>
      <w:hyperlink r:id="rId158">
        <w:r w:rsidR="00A840BB">
          <w:rPr>
            <w:rFonts w:ascii="Calibri" w:eastAsia="Calibri" w:hAnsi="Calibri" w:cs="Calibri"/>
            <w:color w:val="000000"/>
          </w:rPr>
          <w:t xml:space="preserve">Thomson, Oliver P., and Vivien </w:t>
        </w:r>
        <w:proofErr w:type="spellStart"/>
        <w:r w:rsidR="00A840BB">
          <w:rPr>
            <w:rFonts w:ascii="Calibri" w:eastAsia="Calibri" w:hAnsi="Calibri" w:cs="Calibri"/>
            <w:color w:val="000000"/>
          </w:rPr>
          <w:t>Anstiss</w:t>
        </w:r>
        <w:proofErr w:type="spellEnd"/>
        <w:r w:rsidR="00A840BB">
          <w:rPr>
            <w:rFonts w:ascii="Calibri" w:eastAsia="Calibri" w:hAnsi="Calibri" w:cs="Calibri"/>
            <w:color w:val="000000"/>
          </w:rPr>
          <w:t xml:space="preserve">. 2020. “The Development and Exploratory Analysis of the Osteopaths’ Therapeutic Approaches Questionnaire (Osteo-TAQ).” </w:t>
        </w:r>
      </w:hyperlink>
      <w:hyperlink r:id="rId159">
        <w:r w:rsidR="00A840BB">
          <w:rPr>
            <w:rFonts w:ascii="Calibri" w:eastAsia="Calibri" w:hAnsi="Calibri" w:cs="Calibri"/>
            <w:i/>
            <w:color w:val="000000"/>
          </w:rPr>
          <w:t>International Journal of Osteopathic Medicine: IJOM</w:t>
        </w:r>
      </w:hyperlink>
      <w:hyperlink r:id="rId160">
        <w:r w:rsidR="00A840BB">
          <w:rPr>
            <w:rFonts w:ascii="Calibri" w:eastAsia="Calibri" w:hAnsi="Calibri" w:cs="Calibri"/>
            <w:color w:val="000000"/>
          </w:rPr>
          <w:t xml:space="preserve"> 37 (September): 17–24.</w:t>
        </w:r>
      </w:hyperlink>
    </w:p>
    <w:p w14:paraId="579916EE" w14:textId="77777777" w:rsidR="00FD6E76" w:rsidRDefault="00BF331D">
      <w:pPr>
        <w:widowControl w:val="0"/>
        <w:pBdr>
          <w:top w:val="nil"/>
          <w:left w:val="nil"/>
          <w:bottom w:val="nil"/>
          <w:right w:val="nil"/>
          <w:between w:val="nil"/>
        </w:pBdr>
        <w:spacing w:line="240" w:lineRule="auto"/>
        <w:ind w:left="440" w:hanging="440"/>
        <w:rPr>
          <w:rFonts w:ascii="Calibri" w:eastAsia="Calibri" w:hAnsi="Calibri" w:cs="Calibri"/>
          <w:color w:val="000000"/>
        </w:rPr>
      </w:pPr>
      <w:hyperlink r:id="rId161">
        <w:r w:rsidR="00A840BB">
          <w:rPr>
            <w:rFonts w:ascii="Calibri" w:eastAsia="Calibri" w:hAnsi="Calibri" w:cs="Calibri"/>
            <w:color w:val="000000"/>
          </w:rPr>
          <w:t xml:space="preserve">Thomson, Oliver P., Nicola J. Petty, and Ann P. Moore. 2014a. “A Qualitative Grounded Theory Study of the Conceptions of Clinical Practice in Osteopathy - a Continuum from Technical Rationality to Professional Artistry.” </w:t>
        </w:r>
      </w:hyperlink>
      <w:hyperlink r:id="rId162">
        <w:r w:rsidR="00A840BB">
          <w:rPr>
            <w:rFonts w:ascii="Calibri" w:eastAsia="Calibri" w:hAnsi="Calibri" w:cs="Calibri"/>
            <w:i/>
            <w:color w:val="000000"/>
          </w:rPr>
          <w:t>Manual Therapy</w:t>
        </w:r>
      </w:hyperlink>
      <w:hyperlink r:id="rId163">
        <w:r w:rsidR="00A840BB">
          <w:rPr>
            <w:rFonts w:ascii="Calibri" w:eastAsia="Calibri" w:hAnsi="Calibri" w:cs="Calibri"/>
            <w:color w:val="000000"/>
          </w:rPr>
          <w:t xml:space="preserve"> 19 (1): 37–43.</w:t>
        </w:r>
      </w:hyperlink>
    </w:p>
    <w:p w14:paraId="27118B71" w14:textId="77777777" w:rsidR="00FD6E76" w:rsidRDefault="00BF331D">
      <w:pPr>
        <w:widowControl w:val="0"/>
        <w:pBdr>
          <w:top w:val="nil"/>
          <w:left w:val="nil"/>
          <w:bottom w:val="nil"/>
          <w:right w:val="nil"/>
          <w:between w:val="nil"/>
        </w:pBdr>
        <w:spacing w:line="240" w:lineRule="auto"/>
        <w:ind w:left="440" w:hanging="440"/>
        <w:rPr>
          <w:rFonts w:ascii="Calibri" w:eastAsia="Calibri" w:hAnsi="Calibri" w:cs="Calibri"/>
          <w:color w:val="000000"/>
        </w:rPr>
      </w:pPr>
      <w:hyperlink r:id="rId164">
        <w:r w:rsidR="00A840BB">
          <w:rPr>
            <w:rFonts w:ascii="Calibri" w:eastAsia="Calibri" w:hAnsi="Calibri" w:cs="Calibri"/>
            <w:color w:val="000000"/>
          </w:rPr>
          <w:t xml:space="preserve">———. 2014b. “Clinical Decision-Making and Therapeutic Approaches in Osteopathy - a Qualitative </w:t>
        </w:r>
        <w:r w:rsidR="00A840BB">
          <w:rPr>
            <w:rFonts w:ascii="Calibri" w:eastAsia="Calibri" w:hAnsi="Calibri" w:cs="Calibri"/>
            <w:color w:val="000000"/>
          </w:rPr>
          <w:lastRenderedPageBreak/>
          <w:t xml:space="preserve">Grounded Theory Study.” </w:t>
        </w:r>
      </w:hyperlink>
      <w:hyperlink r:id="rId165">
        <w:r w:rsidR="00A840BB">
          <w:rPr>
            <w:rFonts w:ascii="Calibri" w:eastAsia="Calibri" w:hAnsi="Calibri" w:cs="Calibri"/>
            <w:i/>
            <w:color w:val="000000"/>
          </w:rPr>
          <w:t>Manual Therapy</w:t>
        </w:r>
      </w:hyperlink>
      <w:hyperlink r:id="rId166">
        <w:r w:rsidR="00A840BB">
          <w:rPr>
            <w:rFonts w:ascii="Calibri" w:eastAsia="Calibri" w:hAnsi="Calibri" w:cs="Calibri"/>
            <w:color w:val="000000"/>
          </w:rPr>
          <w:t xml:space="preserve"> 19 (1): 44–51.</w:t>
        </w:r>
      </w:hyperlink>
    </w:p>
    <w:p w14:paraId="671F45DD" w14:textId="77777777" w:rsidR="00FD6E76" w:rsidRDefault="00BF331D">
      <w:pPr>
        <w:widowControl w:val="0"/>
        <w:pBdr>
          <w:top w:val="nil"/>
          <w:left w:val="nil"/>
          <w:bottom w:val="nil"/>
          <w:right w:val="nil"/>
          <w:between w:val="nil"/>
        </w:pBdr>
        <w:spacing w:line="240" w:lineRule="auto"/>
        <w:ind w:left="440" w:hanging="440"/>
        <w:rPr>
          <w:rFonts w:ascii="Calibri" w:eastAsia="Calibri" w:hAnsi="Calibri" w:cs="Calibri"/>
          <w:color w:val="000000"/>
        </w:rPr>
      </w:pPr>
      <w:hyperlink r:id="rId167">
        <w:r w:rsidR="00A840BB">
          <w:rPr>
            <w:rFonts w:ascii="Calibri" w:eastAsia="Calibri" w:hAnsi="Calibri" w:cs="Calibri"/>
            <w:color w:val="000000"/>
          </w:rPr>
          <w:t xml:space="preserve">Thomson, Oliver P., Brett Vaughan, Kesava Sampath, Jerry Draper-Rodi, Michael Fleischmann, and Francesco Cerritelli. 2022. “The Osteopaths’ Therapeutic Approaches Questionnaire (Osteo-TAQ) - A Content Validity Study.” </w:t>
        </w:r>
      </w:hyperlink>
      <w:hyperlink r:id="rId168">
        <w:r w:rsidR="00A840BB">
          <w:rPr>
            <w:rFonts w:ascii="Calibri" w:eastAsia="Calibri" w:hAnsi="Calibri" w:cs="Calibri"/>
            <w:i/>
            <w:color w:val="000000"/>
          </w:rPr>
          <w:t>International Journal of Osteopathic Medicine: IJOM</w:t>
        </w:r>
      </w:hyperlink>
      <w:hyperlink r:id="rId169">
        <w:r w:rsidR="00A840BB">
          <w:rPr>
            <w:rFonts w:ascii="Calibri" w:eastAsia="Calibri" w:hAnsi="Calibri" w:cs="Calibri"/>
            <w:color w:val="000000"/>
          </w:rPr>
          <w:t>, July. https://doi.org/</w:t>
        </w:r>
      </w:hyperlink>
      <w:hyperlink r:id="rId170">
        <w:r w:rsidR="00A840BB">
          <w:rPr>
            <w:rFonts w:ascii="Calibri" w:eastAsia="Calibri" w:hAnsi="Calibri" w:cs="Calibri"/>
            <w:color w:val="000000"/>
          </w:rPr>
          <w:t>10.1016/j.ijosm.2022.07.001</w:t>
        </w:r>
      </w:hyperlink>
      <w:hyperlink r:id="rId171">
        <w:r w:rsidR="00A840BB">
          <w:rPr>
            <w:rFonts w:ascii="Calibri" w:eastAsia="Calibri" w:hAnsi="Calibri" w:cs="Calibri"/>
            <w:color w:val="000000"/>
          </w:rPr>
          <w:t>.</w:t>
        </w:r>
      </w:hyperlink>
    </w:p>
    <w:p w14:paraId="35C82AFE" w14:textId="77777777" w:rsidR="00FD6E76" w:rsidRDefault="00BF331D">
      <w:pPr>
        <w:widowControl w:val="0"/>
        <w:pBdr>
          <w:top w:val="nil"/>
          <w:left w:val="nil"/>
          <w:bottom w:val="nil"/>
          <w:right w:val="nil"/>
          <w:between w:val="nil"/>
        </w:pBdr>
        <w:spacing w:after="220" w:line="240" w:lineRule="auto"/>
        <w:ind w:left="440" w:hanging="440"/>
        <w:rPr>
          <w:rFonts w:ascii="Calibri" w:eastAsia="Calibri" w:hAnsi="Calibri" w:cs="Calibri"/>
          <w:color w:val="000000"/>
        </w:rPr>
      </w:pPr>
      <w:hyperlink r:id="rId172">
        <w:r w:rsidR="00A840BB">
          <w:rPr>
            <w:rFonts w:ascii="Calibri" w:eastAsia="Calibri" w:hAnsi="Calibri" w:cs="Calibri"/>
            <w:color w:val="000000"/>
          </w:rPr>
          <w:t xml:space="preserve">Wagner, Agathe, Mathieu </w:t>
        </w:r>
        <w:proofErr w:type="spellStart"/>
        <w:r w:rsidR="00A840BB">
          <w:rPr>
            <w:rFonts w:ascii="Calibri" w:eastAsia="Calibri" w:hAnsi="Calibri" w:cs="Calibri"/>
            <w:color w:val="000000"/>
          </w:rPr>
          <w:t>Ménard</w:t>
        </w:r>
        <w:proofErr w:type="spellEnd"/>
        <w:r w:rsidR="00A840BB">
          <w:rPr>
            <w:rFonts w:ascii="Calibri" w:eastAsia="Calibri" w:hAnsi="Calibri" w:cs="Calibri"/>
            <w:color w:val="000000"/>
          </w:rPr>
          <w:t xml:space="preserve">, </w:t>
        </w:r>
        <w:proofErr w:type="spellStart"/>
        <w:r w:rsidR="00A840BB">
          <w:rPr>
            <w:rFonts w:ascii="Calibri" w:eastAsia="Calibri" w:hAnsi="Calibri" w:cs="Calibri"/>
            <w:color w:val="000000"/>
          </w:rPr>
          <w:t>Erwann</w:t>
        </w:r>
        <w:proofErr w:type="spellEnd"/>
        <w:r w:rsidR="00A840BB">
          <w:rPr>
            <w:rFonts w:ascii="Calibri" w:eastAsia="Calibri" w:hAnsi="Calibri" w:cs="Calibri"/>
            <w:color w:val="000000"/>
          </w:rPr>
          <w:t xml:space="preserve"> </w:t>
        </w:r>
        <w:proofErr w:type="spellStart"/>
        <w:r w:rsidR="00A840BB">
          <w:rPr>
            <w:rFonts w:ascii="Calibri" w:eastAsia="Calibri" w:hAnsi="Calibri" w:cs="Calibri"/>
            <w:color w:val="000000"/>
          </w:rPr>
          <w:t>Jacquot</w:t>
        </w:r>
        <w:proofErr w:type="spellEnd"/>
        <w:r w:rsidR="00A840BB">
          <w:rPr>
            <w:rFonts w:ascii="Calibri" w:eastAsia="Calibri" w:hAnsi="Calibri" w:cs="Calibri"/>
            <w:color w:val="000000"/>
          </w:rPr>
          <w:t xml:space="preserve">, Gianni </w:t>
        </w:r>
        <w:proofErr w:type="spellStart"/>
        <w:r w:rsidR="00A840BB">
          <w:rPr>
            <w:rFonts w:ascii="Calibri" w:eastAsia="Calibri" w:hAnsi="Calibri" w:cs="Calibri"/>
            <w:color w:val="000000"/>
          </w:rPr>
          <w:t>Marangelli</w:t>
        </w:r>
        <w:proofErr w:type="spellEnd"/>
        <w:r w:rsidR="00A840BB">
          <w:rPr>
            <w:rFonts w:ascii="Calibri" w:eastAsia="Calibri" w:hAnsi="Calibri" w:cs="Calibri"/>
            <w:color w:val="000000"/>
          </w:rPr>
          <w:t xml:space="preserve">, Olivier </w:t>
        </w:r>
        <w:proofErr w:type="spellStart"/>
        <w:r w:rsidR="00A840BB">
          <w:rPr>
            <w:rFonts w:ascii="Calibri" w:eastAsia="Calibri" w:hAnsi="Calibri" w:cs="Calibri"/>
            <w:color w:val="000000"/>
          </w:rPr>
          <w:t>Merdy</w:t>
        </w:r>
        <w:proofErr w:type="spellEnd"/>
        <w:r w:rsidR="00A840BB">
          <w:rPr>
            <w:rFonts w:ascii="Calibri" w:eastAsia="Calibri" w:hAnsi="Calibri" w:cs="Calibri"/>
            <w:color w:val="000000"/>
          </w:rPr>
          <w:t xml:space="preserve">, Cyril </w:t>
        </w:r>
        <w:proofErr w:type="spellStart"/>
        <w:r w:rsidR="00A840BB">
          <w:rPr>
            <w:rFonts w:ascii="Calibri" w:eastAsia="Calibri" w:hAnsi="Calibri" w:cs="Calibri"/>
            <w:color w:val="000000"/>
          </w:rPr>
          <w:t>Clouzeau</w:t>
        </w:r>
        <w:proofErr w:type="spellEnd"/>
        <w:r w:rsidR="00A840BB">
          <w:rPr>
            <w:rFonts w:ascii="Calibri" w:eastAsia="Calibri" w:hAnsi="Calibri" w:cs="Calibri"/>
            <w:color w:val="000000"/>
          </w:rPr>
          <w:t xml:space="preserve">, Paola Tavernier, et al. 2023. “The Profile of French Osteopaths: A Cross-Sectional Survey.” </w:t>
        </w:r>
      </w:hyperlink>
      <w:hyperlink r:id="rId173">
        <w:r w:rsidR="00A840BB">
          <w:rPr>
            <w:rFonts w:ascii="Calibri" w:eastAsia="Calibri" w:hAnsi="Calibri" w:cs="Calibri"/>
            <w:i/>
            <w:color w:val="000000"/>
          </w:rPr>
          <w:t>International Journal of Osteopathic Medicine: IJOM</w:t>
        </w:r>
      </w:hyperlink>
      <w:hyperlink r:id="rId174">
        <w:r w:rsidR="00A840BB">
          <w:rPr>
            <w:rFonts w:ascii="Calibri" w:eastAsia="Calibri" w:hAnsi="Calibri" w:cs="Calibri"/>
            <w:color w:val="000000"/>
          </w:rPr>
          <w:t>, May, 100672.</w:t>
        </w:r>
      </w:hyperlink>
    </w:p>
    <w:p w14:paraId="5B2627D7" w14:textId="77777777" w:rsidR="00FD6E76" w:rsidRDefault="00FD6E76">
      <w:pPr>
        <w:widowControl w:val="0"/>
        <w:pBdr>
          <w:top w:val="nil"/>
          <w:left w:val="nil"/>
          <w:bottom w:val="nil"/>
          <w:right w:val="nil"/>
          <w:between w:val="nil"/>
        </w:pBdr>
        <w:rPr>
          <w:b/>
        </w:rPr>
      </w:pPr>
    </w:p>
    <w:p w14:paraId="61D34D94" w14:textId="77777777" w:rsidR="00FD6E76" w:rsidRDefault="00FD6E76">
      <w:pPr>
        <w:widowControl w:val="0"/>
        <w:pBdr>
          <w:top w:val="nil"/>
          <w:left w:val="nil"/>
          <w:bottom w:val="nil"/>
          <w:right w:val="nil"/>
          <w:between w:val="nil"/>
        </w:pBdr>
        <w:rPr>
          <w:rFonts w:ascii="Calibri" w:eastAsia="Calibri" w:hAnsi="Calibri" w:cs="Calibri"/>
          <w:b/>
        </w:rPr>
      </w:pPr>
    </w:p>
    <w:p w14:paraId="025404E1" w14:textId="77777777" w:rsidR="00FD6E76" w:rsidRDefault="00A840BB">
      <w:pPr>
        <w:widowControl w:val="0"/>
        <w:pBdr>
          <w:top w:val="nil"/>
          <w:left w:val="nil"/>
          <w:bottom w:val="nil"/>
          <w:right w:val="nil"/>
          <w:between w:val="nil"/>
        </w:pBdr>
        <w:rPr>
          <w:rFonts w:ascii="Calibri" w:eastAsia="Calibri" w:hAnsi="Calibri" w:cs="Calibri"/>
          <w:b/>
        </w:rPr>
      </w:pPr>
      <w:r>
        <w:rPr>
          <w:rFonts w:ascii="Calibri" w:eastAsia="Calibri" w:hAnsi="Calibri" w:cs="Calibri"/>
          <w:b/>
        </w:rPr>
        <w:t xml:space="preserve">Funding </w:t>
      </w:r>
    </w:p>
    <w:p w14:paraId="6C4BE49B" w14:textId="77777777" w:rsidR="00FD6E76" w:rsidRDefault="00A840BB">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This research received funding from Osteopathy Australia </w:t>
      </w:r>
    </w:p>
    <w:sectPr w:rsidR="00FD6E76">
      <w:footerReference w:type="default" r:id="rId17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725AF" w14:textId="77777777" w:rsidR="00A840BB" w:rsidRDefault="00A840BB">
      <w:pPr>
        <w:spacing w:line="240" w:lineRule="auto"/>
      </w:pPr>
      <w:r>
        <w:separator/>
      </w:r>
    </w:p>
  </w:endnote>
  <w:endnote w:type="continuationSeparator" w:id="0">
    <w:p w14:paraId="34D38D48" w14:textId="77777777" w:rsidR="00A840BB" w:rsidRDefault="00A840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C0B0F38-CBC6-4DBB-BB20-E5A81D44FE5E}"/>
    <w:embedBold r:id="rId2" w:fontKey="{4626ACCB-220E-4BF0-AE8B-86A5ED7DA7CC}"/>
    <w:embedItalic r:id="rId3" w:fontKey="{1BAC0DA3-759D-4213-B294-97B10AB3CF7B}"/>
    <w:embedBoldItalic r:id="rId4" w:fontKey="{F55E53CB-FBB9-4995-A29A-B62222820E36}"/>
  </w:font>
  <w:font w:name="Roboto">
    <w:charset w:val="00"/>
    <w:family w:val="auto"/>
    <w:pitch w:val="variable"/>
    <w:sig w:usb0="E00002FF" w:usb1="5000205B" w:usb2="00000020" w:usb3="00000000" w:csb0="0000019F" w:csb1="00000000"/>
    <w:embedRegular r:id="rId5" w:fontKey="{1773D54F-3030-4BF3-AA49-6C789144624B}"/>
  </w:font>
  <w:font w:name="Cambria">
    <w:panose1 w:val="02040503050406030204"/>
    <w:charset w:val="00"/>
    <w:family w:val="roman"/>
    <w:pitch w:val="variable"/>
    <w:sig w:usb0="E00006FF" w:usb1="420024FF" w:usb2="02000000" w:usb3="00000000" w:csb0="0000019F" w:csb1="00000000"/>
    <w:embedRegular r:id="rId6" w:fontKey="{552DB108-01B8-4131-9764-CFFD0A4C5F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2CBD8" w14:textId="77777777" w:rsidR="00FD6E76" w:rsidRDefault="00FD6E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94944" w14:textId="77777777" w:rsidR="00A840BB" w:rsidRDefault="00A840BB">
      <w:pPr>
        <w:spacing w:line="240" w:lineRule="auto"/>
      </w:pPr>
      <w:r>
        <w:separator/>
      </w:r>
    </w:p>
  </w:footnote>
  <w:footnote w:type="continuationSeparator" w:id="0">
    <w:p w14:paraId="4568A47F" w14:textId="77777777" w:rsidR="00A840BB" w:rsidRDefault="00A840B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670789"/>
    <w:multiLevelType w:val="multilevel"/>
    <w:tmpl w:val="A2E4749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7EF83B4C"/>
    <w:multiLevelType w:val="multilevel"/>
    <w:tmpl w:val="21C4D0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E76"/>
    <w:rsid w:val="004A33A0"/>
    <w:rsid w:val="00A840BB"/>
    <w:rsid w:val="00BF331D"/>
    <w:rsid w:val="00FD6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5402E"/>
  <w15:docId w15:val="{D73E462B-B2D1-594F-A9E0-0A78642B9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paperpile.com/b/NqkVng/4im2" TargetMode="External"/><Relationship Id="rId21" Type="http://schemas.openxmlformats.org/officeDocument/2006/relationships/hyperlink" Target="https://paperpile.com/c/NqkVng/jWen+4Q6Xq" TargetMode="External"/><Relationship Id="rId42" Type="http://schemas.openxmlformats.org/officeDocument/2006/relationships/hyperlink" Target="https://paperpile.com/c/NqkVng/bTlT" TargetMode="External"/><Relationship Id="rId63" Type="http://schemas.openxmlformats.org/officeDocument/2006/relationships/hyperlink" Target="https://osteopathiccouncil.org.au/" TargetMode="External"/><Relationship Id="rId84" Type="http://schemas.openxmlformats.org/officeDocument/2006/relationships/hyperlink" Target="http://paperpile.com/b/NqkVng/fUv7" TargetMode="External"/><Relationship Id="rId138" Type="http://schemas.openxmlformats.org/officeDocument/2006/relationships/hyperlink" Target="http://paperpile.com/b/NqkVng/yiCf" TargetMode="External"/><Relationship Id="rId159" Type="http://schemas.openxmlformats.org/officeDocument/2006/relationships/hyperlink" Target="http://paperpile.com/b/NqkVng/CXTB" TargetMode="External"/><Relationship Id="rId170" Type="http://schemas.openxmlformats.org/officeDocument/2006/relationships/hyperlink" Target="http://dx.doi.org/10.1016/j.ijosm.2022.07.001" TargetMode="External"/><Relationship Id="rId107" Type="http://schemas.openxmlformats.org/officeDocument/2006/relationships/hyperlink" Target="http://paperpile.com/b/NqkVng/MqVR" TargetMode="External"/><Relationship Id="rId11" Type="http://schemas.openxmlformats.org/officeDocument/2006/relationships/hyperlink" Target="https://paperpile.com/c/NqkVng/cOU6" TargetMode="External"/><Relationship Id="rId32" Type="http://schemas.openxmlformats.org/officeDocument/2006/relationships/hyperlink" Target="https://paperpile.com/c/NqkVng/k25t" TargetMode="External"/><Relationship Id="rId53" Type="http://schemas.openxmlformats.org/officeDocument/2006/relationships/hyperlink" Target="https://paperpile.com/c/NqkVng/F2BO" TargetMode="External"/><Relationship Id="rId74" Type="http://schemas.openxmlformats.org/officeDocument/2006/relationships/hyperlink" Target="http://paperpile.com/b/NqkVng/W11b" TargetMode="External"/><Relationship Id="rId128" Type="http://schemas.openxmlformats.org/officeDocument/2006/relationships/hyperlink" Target="http://paperpile.com/b/NqkVng/ufQj" TargetMode="External"/><Relationship Id="rId149" Type="http://schemas.openxmlformats.org/officeDocument/2006/relationships/hyperlink" Target="http://paperpile.com/b/NqkVng/xLSt" TargetMode="External"/><Relationship Id="rId5" Type="http://schemas.openxmlformats.org/officeDocument/2006/relationships/footnotes" Target="footnotes.xml"/><Relationship Id="rId95" Type="http://schemas.openxmlformats.org/officeDocument/2006/relationships/hyperlink" Target="http://paperpile.com/b/NqkVng/kdmG" TargetMode="External"/><Relationship Id="rId160" Type="http://schemas.openxmlformats.org/officeDocument/2006/relationships/hyperlink" Target="http://paperpile.com/b/NqkVng/CXTB" TargetMode="External"/><Relationship Id="rId22" Type="http://schemas.openxmlformats.org/officeDocument/2006/relationships/hyperlink" Target="https://paperpile.com/c/NqkVng/MqVR+VCz1+iAQi" TargetMode="External"/><Relationship Id="rId43" Type="http://schemas.openxmlformats.org/officeDocument/2006/relationships/hyperlink" Target="https://paperpile.com/c/NqkVng/lAor" TargetMode="External"/><Relationship Id="rId64" Type="http://schemas.openxmlformats.org/officeDocument/2006/relationships/hyperlink" Target="http://paperpile.com/b/NqkVng/cOU6" TargetMode="External"/><Relationship Id="rId118" Type="http://schemas.openxmlformats.org/officeDocument/2006/relationships/hyperlink" Target="http://paperpile.com/b/NqkVng/rZRs" TargetMode="External"/><Relationship Id="rId139" Type="http://schemas.openxmlformats.org/officeDocument/2006/relationships/hyperlink" Target="http://paperpile.com/b/NqkVng/yiCf" TargetMode="External"/><Relationship Id="rId85" Type="http://schemas.openxmlformats.org/officeDocument/2006/relationships/hyperlink" Target="http://paperpile.com/b/NqkVng/fUv7" TargetMode="External"/><Relationship Id="rId150" Type="http://schemas.openxmlformats.org/officeDocument/2006/relationships/hyperlink" Target="http://paperpile.com/b/NqkVng/iAQi" TargetMode="External"/><Relationship Id="rId171" Type="http://schemas.openxmlformats.org/officeDocument/2006/relationships/hyperlink" Target="http://paperpile.com/b/NqkVng/cfEL" TargetMode="External"/><Relationship Id="rId12" Type="http://schemas.openxmlformats.org/officeDocument/2006/relationships/hyperlink" Target="https://paperpile.com/c/NqkVng/F2BO" TargetMode="External"/><Relationship Id="rId33" Type="http://schemas.openxmlformats.org/officeDocument/2006/relationships/hyperlink" Target="https://paperpile.com/c/NqkVng/3fFr" TargetMode="External"/><Relationship Id="rId108" Type="http://schemas.openxmlformats.org/officeDocument/2006/relationships/hyperlink" Target="http://paperpile.com/b/NqkVng/MqVR" TargetMode="External"/><Relationship Id="rId129" Type="http://schemas.openxmlformats.org/officeDocument/2006/relationships/hyperlink" Target="http://paperpile.com/b/NqkVng/NVTM" TargetMode="External"/><Relationship Id="rId54" Type="http://schemas.openxmlformats.org/officeDocument/2006/relationships/hyperlink" Target="https://paperpile.com/c/NqkVng/PIo3" TargetMode="External"/><Relationship Id="rId75" Type="http://schemas.openxmlformats.org/officeDocument/2006/relationships/hyperlink" Target="http://paperpile.com/b/NqkVng/W11b" TargetMode="External"/><Relationship Id="rId96" Type="http://schemas.openxmlformats.org/officeDocument/2006/relationships/hyperlink" Target="http://paperpile.com/b/NqkVng/kdmG" TargetMode="External"/><Relationship Id="rId140" Type="http://schemas.openxmlformats.org/officeDocument/2006/relationships/hyperlink" Target="http://paperpile.com/b/NqkVng/yiCf" TargetMode="External"/><Relationship Id="rId161" Type="http://schemas.openxmlformats.org/officeDocument/2006/relationships/hyperlink" Target="http://paperpile.com/b/NqkVng/jAkR" TargetMode="External"/><Relationship Id="rId6" Type="http://schemas.openxmlformats.org/officeDocument/2006/relationships/endnotes" Target="endnotes.xml"/><Relationship Id="rId23" Type="http://schemas.openxmlformats.org/officeDocument/2006/relationships/hyperlink" Target="https://paperpile.com/c/NqkVng/jAkR" TargetMode="External"/><Relationship Id="rId28" Type="http://schemas.openxmlformats.org/officeDocument/2006/relationships/hyperlink" Target="https://paperpile.com/c/NqkVng/Ieyl" TargetMode="External"/><Relationship Id="rId49" Type="http://schemas.openxmlformats.org/officeDocument/2006/relationships/hyperlink" Target="https://paperpile.com/c/NqkVng/F2BO" TargetMode="External"/><Relationship Id="rId114" Type="http://schemas.openxmlformats.org/officeDocument/2006/relationships/hyperlink" Target="http://paperpile.com/b/NqkVng/PHaz" TargetMode="External"/><Relationship Id="rId119" Type="http://schemas.openxmlformats.org/officeDocument/2006/relationships/hyperlink" Target="http://paperpile.com/b/NqkVng/rZRs" TargetMode="External"/><Relationship Id="rId44" Type="http://schemas.openxmlformats.org/officeDocument/2006/relationships/hyperlink" Target="https://paperpile.com/c/NqkVng/3cl1" TargetMode="External"/><Relationship Id="rId60" Type="http://schemas.openxmlformats.org/officeDocument/2006/relationships/hyperlink" Target="http://paperpile.com/b/NqkVng/j2WX" TargetMode="External"/><Relationship Id="rId65" Type="http://schemas.openxmlformats.org/officeDocument/2006/relationships/hyperlink" Target="http://paperpile.com/b/NqkVng/PIo3" TargetMode="External"/><Relationship Id="rId81" Type="http://schemas.openxmlformats.org/officeDocument/2006/relationships/hyperlink" Target="http://paperpile.com/b/NqkVng/wlxb" TargetMode="External"/><Relationship Id="rId86" Type="http://schemas.openxmlformats.org/officeDocument/2006/relationships/hyperlink" Target="http://paperpile.com/b/NqkVng/xZUN" TargetMode="External"/><Relationship Id="rId130" Type="http://schemas.openxmlformats.org/officeDocument/2006/relationships/hyperlink" Target="https://www.osteopathyboard.gov.au/" TargetMode="External"/><Relationship Id="rId135" Type="http://schemas.openxmlformats.org/officeDocument/2006/relationships/hyperlink" Target="http://paperpile.com/b/NqkVng/nUMz" TargetMode="External"/><Relationship Id="rId151" Type="http://schemas.openxmlformats.org/officeDocument/2006/relationships/hyperlink" Target="http://paperpile.com/b/NqkVng/iAQi" TargetMode="External"/><Relationship Id="rId156" Type="http://schemas.openxmlformats.org/officeDocument/2006/relationships/hyperlink" Target="https://ethos.bl.uk/OrderDetails.do?uin=uk.bl.ethos.619015" TargetMode="External"/><Relationship Id="rId177" Type="http://schemas.openxmlformats.org/officeDocument/2006/relationships/theme" Target="theme/theme1.xml"/><Relationship Id="rId172" Type="http://schemas.openxmlformats.org/officeDocument/2006/relationships/hyperlink" Target="http://paperpile.com/b/NqkVng/LgO2" TargetMode="External"/><Relationship Id="rId13" Type="http://schemas.openxmlformats.org/officeDocument/2006/relationships/hyperlink" Target="https://paperpile.com/c/NqkVng/F2BO" TargetMode="External"/><Relationship Id="rId18" Type="http://schemas.openxmlformats.org/officeDocument/2006/relationships/hyperlink" Target="https://paperpile.com/c/NqkVng/j2WX" TargetMode="External"/><Relationship Id="rId39" Type="http://schemas.openxmlformats.org/officeDocument/2006/relationships/hyperlink" Target="https://paperpile.com/c/NqkVng/jWen+jAkR" TargetMode="External"/><Relationship Id="rId109" Type="http://schemas.openxmlformats.org/officeDocument/2006/relationships/hyperlink" Target="http://paperpile.com/b/NqkVng/3cl1" TargetMode="External"/><Relationship Id="rId34" Type="http://schemas.openxmlformats.org/officeDocument/2006/relationships/hyperlink" Target="https://paperpile.com/c/NqkVng/5sVO" TargetMode="External"/><Relationship Id="rId50" Type="http://schemas.openxmlformats.org/officeDocument/2006/relationships/hyperlink" Target="https://paperpile.com/c/NqkVng/bTlT" TargetMode="External"/><Relationship Id="rId55" Type="http://schemas.openxmlformats.org/officeDocument/2006/relationships/hyperlink" Target="https://paperpile.com/c/NqkVng/0v3x+F2BO+ufQj" TargetMode="External"/><Relationship Id="rId76" Type="http://schemas.openxmlformats.org/officeDocument/2006/relationships/hyperlink" Target="http://paperpile.com/b/NqkVng/W11b" TargetMode="External"/><Relationship Id="rId97" Type="http://schemas.openxmlformats.org/officeDocument/2006/relationships/hyperlink" Target="http://paperpile.com/b/NqkVng/kdmG" TargetMode="External"/><Relationship Id="rId104" Type="http://schemas.openxmlformats.org/officeDocument/2006/relationships/hyperlink" Target="http://paperpile.com/b/NqkVng/VCz1" TargetMode="External"/><Relationship Id="rId120" Type="http://schemas.openxmlformats.org/officeDocument/2006/relationships/hyperlink" Target="http://paperpile.com/b/NqkVng/rZRs" TargetMode="External"/><Relationship Id="rId125" Type="http://schemas.openxmlformats.org/officeDocument/2006/relationships/hyperlink" Target="http://paperpile.com/b/NqkVng/GAYI" TargetMode="External"/><Relationship Id="rId141" Type="http://schemas.openxmlformats.org/officeDocument/2006/relationships/hyperlink" Target="http://paperpile.com/b/NqkVng/bTlT" TargetMode="External"/><Relationship Id="rId146" Type="http://schemas.openxmlformats.org/officeDocument/2006/relationships/hyperlink" Target="http://paperpile.com/b/NqkVng/Ieyl" TargetMode="External"/><Relationship Id="rId167" Type="http://schemas.openxmlformats.org/officeDocument/2006/relationships/hyperlink" Target="http://paperpile.com/b/NqkVng/cfEL" TargetMode="External"/><Relationship Id="rId7" Type="http://schemas.openxmlformats.org/officeDocument/2006/relationships/hyperlink" Target="https://doi.org/10.1016/j.ijosm.2024.100723" TargetMode="External"/><Relationship Id="rId71" Type="http://schemas.openxmlformats.org/officeDocument/2006/relationships/hyperlink" Target="http://paperpile.com/b/NqkVng/3fFr" TargetMode="External"/><Relationship Id="rId92" Type="http://schemas.openxmlformats.org/officeDocument/2006/relationships/hyperlink" Target="http://paperpile.com/b/NqkVng/k25t" TargetMode="External"/><Relationship Id="rId162" Type="http://schemas.openxmlformats.org/officeDocument/2006/relationships/hyperlink" Target="http://paperpile.com/b/NqkVng/jAkR" TargetMode="External"/><Relationship Id="rId2" Type="http://schemas.openxmlformats.org/officeDocument/2006/relationships/styles" Target="styles.xml"/><Relationship Id="rId29" Type="http://schemas.openxmlformats.org/officeDocument/2006/relationships/hyperlink" Target="https://paperpile.com/c/NqkVng/CXTB+cfEL" TargetMode="External"/><Relationship Id="rId24" Type="http://schemas.openxmlformats.org/officeDocument/2006/relationships/hyperlink" Target="https://paperpile.com/c/NqkVng/CXTB" TargetMode="External"/><Relationship Id="rId40" Type="http://schemas.openxmlformats.org/officeDocument/2006/relationships/hyperlink" Target="https://paperpile.com/c/NqkVng/PHaz" TargetMode="External"/><Relationship Id="rId45" Type="http://schemas.openxmlformats.org/officeDocument/2006/relationships/hyperlink" Target="https://paperpile.com/c/NqkVng/fUv7" TargetMode="External"/><Relationship Id="rId66" Type="http://schemas.openxmlformats.org/officeDocument/2006/relationships/hyperlink" Target="https://www.aqf.edu.au/framework/aqf-levels" TargetMode="External"/><Relationship Id="rId87" Type="http://schemas.openxmlformats.org/officeDocument/2006/relationships/hyperlink" Target="http://paperpile.com/b/NqkVng/xZUN" TargetMode="External"/><Relationship Id="rId110" Type="http://schemas.openxmlformats.org/officeDocument/2006/relationships/hyperlink" Target="http://paperpile.com/b/NqkVng/3cl1" TargetMode="External"/><Relationship Id="rId115" Type="http://schemas.openxmlformats.org/officeDocument/2006/relationships/hyperlink" Target="http://paperpile.com/b/NqkVng/4im2" TargetMode="External"/><Relationship Id="rId131" Type="http://schemas.openxmlformats.org/officeDocument/2006/relationships/hyperlink" Target="http://paperpile.com/b/NqkVng/NVTM" TargetMode="External"/><Relationship Id="rId136" Type="http://schemas.openxmlformats.org/officeDocument/2006/relationships/hyperlink" Target="http://paperpile.com/b/NqkVng/nUMz" TargetMode="External"/><Relationship Id="rId157" Type="http://schemas.openxmlformats.org/officeDocument/2006/relationships/hyperlink" Target="http://paperpile.com/b/NqkVng/4Q6Xq" TargetMode="External"/><Relationship Id="rId61" Type="http://schemas.openxmlformats.org/officeDocument/2006/relationships/hyperlink" Target="http://paperpile.com/b/NqkVng/j2WX" TargetMode="External"/><Relationship Id="rId82" Type="http://schemas.openxmlformats.org/officeDocument/2006/relationships/hyperlink" Target="http://paperpile.com/b/NqkVng/wlxb" TargetMode="External"/><Relationship Id="rId152" Type="http://schemas.openxmlformats.org/officeDocument/2006/relationships/hyperlink" Target="http://paperpile.com/b/NqkVng/iAQi" TargetMode="External"/><Relationship Id="rId173" Type="http://schemas.openxmlformats.org/officeDocument/2006/relationships/hyperlink" Target="http://paperpile.com/b/NqkVng/LgO2" TargetMode="External"/><Relationship Id="rId19" Type="http://schemas.openxmlformats.org/officeDocument/2006/relationships/hyperlink" Target="https://paperpile.com/c/NqkVng/kdmG" TargetMode="External"/><Relationship Id="rId14" Type="http://schemas.openxmlformats.org/officeDocument/2006/relationships/hyperlink" Target="https://paperpile.com/c/NqkVng/lAor" TargetMode="External"/><Relationship Id="rId30" Type="http://schemas.openxmlformats.org/officeDocument/2006/relationships/hyperlink" Target="https://paperpile.com/c/NqkVng/xZUN" TargetMode="External"/><Relationship Id="rId35" Type="http://schemas.openxmlformats.org/officeDocument/2006/relationships/hyperlink" Target="https://paperpile.com/c/NqkVng/4im2" TargetMode="External"/><Relationship Id="rId56" Type="http://schemas.openxmlformats.org/officeDocument/2006/relationships/hyperlink" Target="http://paperpile.com/b/NqkVng/F2BO" TargetMode="External"/><Relationship Id="rId77" Type="http://schemas.openxmlformats.org/officeDocument/2006/relationships/hyperlink" Target="http://paperpile.com/b/NqkVng/KVDl" TargetMode="External"/><Relationship Id="rId100" Type="http://schemas.openxmlformats.org/officeDocument/2006/relationships/hyperlink" Target="http://paperpile.com/b/NqkVng/lAor" TargetMode="External"/><Relationship Id="rId105" Type="http://schemas.openxmlformats.org/officeDocument/2006/relationships/hyperlink" Target="http://paperpile.com/b/NqkVng/VCz1" TargetMode="External"/><Relationship Id="rId126" Type="http://schemas.openxmlformats.org/officeDocument/2006/relationships/hyperlink" Target="http://paperpile.com/b/NqkVng/ufQj" TargetMode="External"/><Relationship Id="rId147" Type="http://schemas.openxmlformats.org/officeDocument/2006/relationships/hyperlink" Target="http://paperpile.com/b/NqkVng/xLSt" TargetMode="External"/><Relationship Id="rId168" Type="http://schemas.openxmlformats.org/officeDocument/2006/relationships/hyperlink" Target="http://paperpile.com/b/NqkVng/cfEL" TargetMode="External"/><Relationship Id="rId8" Type="http://schemas.openxmlformats.org/officeDocument/2006/relationships/hyperlink" Target="https://paperpile.com/c/NqkVng/GAYI+2vIi" TargetMode="External"/><Relationship Id="rId51" Type="http://schemas.openxmlformats.org/officeDocument/2006/relationships/hyperlink" Target="https://paperpile.com/c/NqkVng/Ieyl" TargetMode="External"/><Relationship Id="rId72" Type="http://schemas.openxmlformats.org/officeDocument/2006/relationships/hyperlink" Target="http://paperpile.com/b/NqkVng/3fFr" TargetMode="External"/><Relationship Id="rId93" Type="http://schemas.openxmlformats.org/officeDocument/2006/relationships/hyperlink" Target="http://paperpile.com/b/NqkVng/k25t" TargetMode="External"/><Relationship Id="rId98" Type="http://schemas.openxmlformats.org/officeDocument/2006/relationships/hyperlink" Target="http://dx.doi.org/10.3390/healthcare10112136" TargetMode="External"/><Relationship Id="rId121" Type="http://schemas.openxmlformats.org/officeDocument/2006/relationships/hyperlink" Target="https://www.simplypsychology.org/cognitive-interview.html" TargetMode="External"/><Relationship Id="rId142" Type="http://schemas.openxmlformats.org/officeDocument/2006/relationships/hyperlink" Target="http://paperpile.com/b/NqkVng/bTlT" TargetMode="External"/><Relationship Id="rId163" Type="http://schemas.openxmlformats.org/officeDocument/2006/relationships/hyperlink" Target="http://paperpile.com/b/NqkVng/jAkR" TargetMode="External"/><Relationship Id="rId3" Type="http://schemas.openxmlformats.org/officeDocument/2006/relationships/settings" Target="settings.xml"/><Relationship Id="rId25" Type="http://schemas.openxmlformats.org/officeDocument/2006/relationships/hyperlink" Target="https://paperpile.com/c/NqkVng/yiCf" TargetMode="External"/><Relationship Id="rId46" Type="http://schemas.openxmlformats.org/officeDocument/2006/relationships/hyperlink" Target="https://paperpile.com/c/NqkVng/fUv7" TargetMode="External"/><Relationship Id="rId67" Type="http://schemas.openxmlformats.org/officeDocument/2006/relationships/hyperlink" Target="http://paperpile.com/b/NqkVng/PIo3" TargetMode="External"/><Relationship Id="rId116" Type="http://schemas.openxmlformats.org/officeDocument/2006/relationships/hyperlink" Target="http://paperpile.com/b/NqkVng/4im2" TargetMode="External"/><Relationship Id="rId137" Type="http://schemas.openxmlformats.org/officeDocument/2006/relationships/hyperlink" Target="http://paperpile.com/b/NqkVng/nUMz" TargetMode="External"/><Relationship Id="rId158" Type="http://schemas.openxmlformats.org/officeDocument/2006/relationships/hyperlink" Target="http://paperpile.com/b/NqkVng/CXTB" TargetMode="External"/><Relationship Id="rId20" Type="http://schemas.openxmlformats.org/officeDocument/2006/relationships/hyperlink" Target="https://paperpile.com/c/NqkVng/jWen+jAkR" TargetMode="External"/><Relationship Id="rId41" Type="http://schemas.openxmlformats.org/officeDocument/2006/relationships/hyperlink" Target="https://paperpile.com/c/NqkVng/F2BO" TargetMode="External"/><Relationship Id="rId62" Type="http://schemas.openxmlformats.org/officeDocument/2006/relationships/hyperlink" Target="http://paperpile.com/b/NqkVng/cOU6" TargetMode="External"/><Relationship Id="rId83" Type="http://schemas.openxmlformats.org/officeDocument/2006/relationships/hyperlink" Target="http://paperpile.com/b/NqkVng/fUv7" TargetMode="External"/><Relationship Id="rId88" Type="http://schemas.openxmlformats.org/officeDocument/2006/relationships/hyperlink" Target="http://paperpile.com/b/NqkVng/xZUN" TargetMode="External"/><Relationship Id="rId111" Type="http://schemas.openxmlformats.org/officeDocument/2006/relationships/hyperlink" Target="http://paperpile.com/b/NqkVng/3cl1" TargetMode="External"/><Relationship Id="rId132" Type="http://schemas.openxmlformats.org/officeDocument/2006/relationships/hyperlink" Target="http://paperpile.com/b/NqkVng/5sVO" TargetMode="External"/><Relationship Id="rId153" Type="http://schemas.openxmlformats.org/officeDocument/2006/relationships/hyperlink" Target="https://psycnet.apa.org/fulltext/1987-97655-000.pdf" TargetMode="External"/><Relationship Id="rId174" Type="http://schemas.openxmlformats.org/officeDocument/2006/relationships/hyperlink" Target="http://paperpile.com/b/NqkVng/LgO2" TargetMode="External"/><Relationship Id="rId15" Type="http://schemas.openxmlformats.org/officeDocument/2006/relationships/hyperlink" Target="https://paperpile.com/c/NqkVng/LgO2" TargetMode="External"/><Relationship Id="rId36" Type="http://schemas.openxmlformats.org/officeDocument/2006/relationships/hyperlink" Target="https://paperpile.com/c/NqkVng/KVDl" TargetMode="External"/><Relationship Id="rId57" Type="http://schemas.openxmlformats.org/officeDocument/2006/relationships/hyperlink" Target="http://paperpile.com/b/NqkVng/F2BO" TargetMode="External"/><Relationship Id="rId106" Type="http://schemas.openxmlformats.org/officeDocument/2006/relationships/hyperlink" Target="http://paperpile.com/b/NqkVng/MqVR" TargetMode="External"/><Relationship Id="rId127" Type="http://schemas.openxmlformats.org/officeDocument/2006/relationships/hyperlink" Target="http://paperpile.com/b/NqkVng/ufQj" TargetMode="External"/><Relationship Id="rId10" Type="http://schemas.openxmlformats.org/officeDocument/2006/relationships/hyperlink" Target="https://paperpile.com/c/NqkVng/NVTM" TargetMode="External"/><Relationship Id="rId31" Type="http://schemas.openxmlformats.org/officeDocument/2006/relationships/hyperlink" Target="https://paperpile.com/c/NqkVng/W11b" TargetMode="External"/><Relationship Id="rId52" Type="http://schemas.openxmlformats.org/officeDocument/2006/relationships/hyperlink" Target="https://paperpile.com/c/NqkVng/rZRs" TargetMode="External"/><Relationship Id="rId73" Type="http://schemas.openxmlformats.org/officeDocument/2006/relationships/hyperlink" Target="http://paperpile.com/b/NqkVng/3fFr" TargetMode="External"/><Relationship Id="rId78" Type="http://schemas.openxmlformats.org/officeDocument/2006/relationships/hyperlink" Target="http://paperpile.com/b/NqkVng/KVDl" TargetMode="External"/><Relationship Id="rId94" Type="http://schemas.openxmlformats.org/officeDocument/2006/relationships/hyperlink" Target="http://paperpile.com/b/NqkVng/k25t" TargetMode="External"/><Relationship Id="rId99" Type="http://schemas.openxmlformats.org/officeDocument/2006/relationships/hyperlink" Target="http://paperpile.com/b/NqkVng/kdmG" TargetMode="External"/><Relationship Id="rId101" Type="http://schemas.openxmlformats.org/officeDocument/2006/relationships/hyperlink" Target="http://paperpile.com/b/NqkVng/lAor" TargetMode="External"/><Relationship Id="rId122" Type="http://schemas.openxmlformats.org/officeDocument/2006/relationships/hyperlink" Target="http://paperpile.com/b/NqkVng/rZRs" TargetMode="External"/><Relationship Id="rId143" Type="http://schemas.openxmlformats.org/officeDocument/2006/relationships/hyperlink" Target="http://paperpile.com/b/NqkVng/bTlT" TargetMode="External"/><Relationship Id="rId148" Type="http://schemas.openxmlformats.org/officeDocument/2006/relationships/hyperlink" Target="http://paperpile.com/b/NqkVng/xLSt" TargetMode="External"/><Relationship Id="rId164" Type="http://schemas.openxmlformats.org/officeDocument/2006/relationships/hyperlink" Target="http://paperpile.com/b/NqkVng/jWen" TargetMode="External"/><Relationship Id="rId169" Type="http://schemas.openxmlformats.org/officeDocument/2006/relationships/hyperlink" Target="http://paperpile.com/b/NqkVng/cfEL" TargetMode="External"/><Relationship Id="rId4" Type="http://schemas.openxmlformats.org/officeDocument/2006/relationships/webSettings" Target="webSettings.xml"/><Relationship Id="rId9" Type="http://schemas.openxmlformats.org/officeDocument/2006/relationships/hyperlink" Target="https://paperpile.com/c/NqkVng/NVTM" TargetMode="External"/><Relationship Id="rId26" Type="http://schemas.openxmlformats.org/officeDocument/2006/relationships/hyperlink" Target="https://paperpile.com/c/NqkVng/CXTB" TargetMode="External"/><Relationship Id="rId47" Type="http://schemas.openxmlformats.org/officeDocument/2006/relationships/hyperlink" Target="https://paperpile.com/c/NqkVng/wlxb" TargetMode="External"/><Relationship Id="rId68" Type="http://schemas.openxmlformats.org/officeDocument/2006/relationships/hyperlink" Target="http://paperpile.com/b/NqkVng/2vIi" TargetMode="External"/><Relationship Id="rId89" Type="http://schemas.openxmlformats.org/officeDocument/2006/relationships/hyperlink" Target="http://paperpile.com/b/NqkVng/0v3x" TargetMode="External"/><Relationship Id="rId112" Type="http://schemas.openxmlformats.org/officeDocument/2006/relationships/hyperlink" Target="http://paperpile.com/b/NqkVng/PHaz" TargetMode="External"/><Relationship Id="rId133" Type="http://schemas.openxmlformats.org/officeDocument/2006/relationships/hyperlink" Target="https://otter.ai/" TargetMode="External"/><Relationship Id="rId154" Type="http://schemas.openxmlformats.org/officeDocument/2006/relationships/hyperlink" Target="http://paperpile.com/b/NqkVng/iAQi" TargetMode="External"/><Relationship Id="rId175" Type="http://schemas.openxmlformats.org/officeDocument/2006/relationships/footer" Target="footer1.xml"/><Relationship Id="rId16" Type="http://schemas.openxmlformats.org/officeDocument/2006/relationships/hyperlink" Target="https://paperpile.com/c/NqkVng/xLSt" TargetMode="External"/><Relationship Id="rId37" Type="http://schemas.openxmlformats.org/officeDocument/2006/relationships/hyperlink" Target="https://paperpile.com/c/NqkVng/nUMz" TargetMode="External"/><Relationship Id="rId58" Type="http://schemas.openxmlformats.org/officeDocument/2006/relationships/hyperlink" Target="http://paperpile.com/b/NqkVng/F2BO" TargetMode="External"/><Relationship Id="rId79" Type="http://schemas.openxmlformats.org/officeDocument/2006/relationships/hyperlink" Target="http://paperpile.com/b/NqkVng/KVDl" TargetMode="External"/><Relationship Id="rId102" Type="http://schemas.openxmlformats.org/officeDocument/2006/relationships/hyperlink" Target="http://paperpile.com/b/NqkVng/lAor" TargetMode="External"/><Relationship Id="rId123" Type="http://schemas.openxmlformats.org/officeDocument/2006/relationships/hyperlink" Target="http://paperpile.com/b/NqkVng/GAYI" TargetMode="External"/><Relationship Id="rId144" Type="http://schemas.openxmlformats.org/officeDocument/2006/relationships/hyperlink" Target="http://paperpile.com/b/NqkVng/Ieyl" TargetMode="External"/><Relationship Id="rId90" Type="http://schemas.openxmlformats.org/officeDocument/2006/relationships/hyperlink" Target="http://paperpile.com/b/NqkVng/0v3x" TargetMode="External"/><Relationship Id="rId165" Type="http://schemas.openxmlformats.org/officeDocument/2006/relationships/hyperlink" Target="http://paperpile.com/b/NqkVng/jWen" TargetMode="External"/><Relationship Id="rId27" Type="http://schemas.openxmlformats.org/officeDocument/2006/relationships/hyperlink" Target="https://paperpile.com/c/NqkVng/cfEL" TargetMode="External"/><Relationship Id="rId48" Type="http://schemas.openxmlformats.org/officeDocument/2006/relationships/hyperlink" Target="https://paperpile.com/c/NqkVng/CXTB+cfEL" TargetMode="External"/><Relationship Id="rId69" Type="http://schemas.openxmlformats.org/officeDocument/2006/relationships/hyperlink" Target="http://paperpile.com/b/NqkVng/2vIi" TargetMode="External"/><Relationship Id="rId113" Type="http://schemas.openxmlformats.org/officeDocument/2006/relationships/hyperlink" Target="http://paperpile.com/b/NqkVng/PHaz" TargetMode="External"/><Relationship Id="rId134" Type="http://schemas.openxmlformats.org/officeDocument/2006/relationships/hyperlink" Target="http://paperpile.com/b/NqkVng/5sVO" TargetMode="External"/><Relationship Id="rId80" Type="http://schemas.openxmlformats.org/officeDocument/2006/relationships/hyperlink" Target="http://paperpile.com/b/NqkVng/wlxb" TargetMode="External"/><Relationship Id="rId155" Type="http://schemas.openxmlformats.org/officeDocument/2006/relationships/hyperlink" Target="http://paperpile.com/b/NqkVng/4Q6Xq" TargetMode="External"/><Relationship Id="rId176" Type="http://schemas.openxmlformats.org/officeDocument/2006/relationships/fontTable" Target="fontTable.xml"/><Relationship Id="rId17" Type="http://schemas.openxmlformats.org/officeDocument/2006/relationships/hyperlink" Target="https://paperpile.com/c/NqkVng/bTlT" TargetMode="External"/><Relationship Id="rId38" Type="http://schemas.openxmlformats.org/officeDocument/2006/relationships/hyperlink" Target="https://paperpile.com/c/NqkVng/jWen" TargetMode="External"/><Relationship Id="rId59" Type="http://schemas.openxmlformats.org/officeDocument/2006/relationships/hyperlink" Target="http://paperpile.com/b/NqkVng/j2WX" TargetMode="External"/><Relationship Id="rId103" Type="http://schemas.openxmlformats.org/officeDocument/2006/relationships/hyperlink" Target="http://paperpile.com/b/NqkVng/VCz1" TargetMode="External"/><Relationship Id="rId124" Type="http://schemas.openxmlformats.org/officeDocument/2006/relationships/hyperlink" Target="http://paperpile.com/b/NqkVng/GAYI" TargetMode="External"/><Relationship Id="rId70" Type="http://schemas.openxmlformats.org/officeDocument/2006/relationships/hyperlink" Target="http://paperpile.com/b/NqkVng/2vIi" TargetMode="External"/><Relationship Id="rId91" Type="http://schemas.openxmlformats.org/officeDocument/2006/relationships/hyperlink" Target="http://paperpile.com/b/NqkVng/0v3x" TargetMode="External"/><Relationship Id="rId145" Type="http://schemas.openxmlformats.org/officeDocument/2006/relationships/hyperlink" Target="http://paperpile.com/b/NqkVng/Ieyl" TargetMode="External"/><Relationship Id="rId166" Type="http://schemas.openxmlformats.org/officeDocument/2006/relationships/hyperlink" Target="http://paperpile.com/b/NqkVng/jWen" TargetMode="External"/><Relationship Id="rId1"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6556</Words>
  <Characters>37370</Characters>
  <Application>Microsoft Office Word</Application>
  <DocSecurity>4</DocSecurity>
  <Lines>311</Lines>
  <Paragraphs>87</Paragraphs>
  <ScaleCrop>false</ScaleCrop>
  <Company/>
  <LinksUpToDate>false</LinksUpToDate>
  <CharactersWithSpaces>43839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O'Donovan</dc:creator>
  <cp:lastModifiedBy>Claire O'Donovan</cp:lastModifiedBy>
  <cp:revision>2</cp:revision>
  <dcterms:created xsi:type="dcterms:W3CDTF">2024-05-21T08:16:00Z</dcterms:created>
  <dcterms:modified xsi:type="dcterms:W3CDTF">2024-05-21T08:16:00Z</dcterms:modified>
</cp:coreProperties>
</file>